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C5761">
      <w:pPr>
        <w:pStyle w:val="19"/>
        <w:adjustRightInd w:val="0"/>
        <w:spacing w:before="0" w:after="0" w:line="240" w:lineRule="auto"/>
        <w:outlineLvl w:val="1"/>
        <w:rPr>
          <w:rFonts w:cs="Times New Roman"/>
          <w:szCs w:val="21"/>
        </w:rPr>
      </w:pPr>
      <w:bookmarkStart w:id="16" w:name="_GoBack"/>
      <w:bookmarkEnd w:id="16"/>
      <w:bookmarkStart w:id="0" w:name="_Toc476060158"/>
      <w:bookmarkStart w:id="1" w:name="_Toc467855597"/>
      <w:bookmarkStart w:id="2" w:name="_Toc467866279"/>
      <w:bookmarkStart w:id="3" w:name="_Toc87014427"/>
      <w:bookmarkStart w:id="4" w:name="_Toc232520580"/>
      <w:bookmarkStart w:id="5" w:name="_Toc13402"/>
      <w:bookmarkStart w:id="6" w:name="_Toc29864"/>
      <w:bookmarkStart w:id="7" w:name="_Toc10481"/>
      <w:bookmarkStart w:id="8" w:name="_Toc30773"/>
      <w:bookmarkStart w:id="9" w:name="_Toc59967721"/>
      <w:bookmarkStart w:id="10" w:name="_Toc8210"/>
      <w:bookmarkStart w:id="11" w:name="_Toc21325"/>
      <w:bookmarkStart w:id="12" w:name="_Toc58944947"/>
      <w:r>
        <w:rPr>
          <w:rFonts w:hint="eastAsia" w:ascii="黑体" w:hAnsi="黑体" w:cs="黑体"/>
          <w:sz w:val="21"/>
          <w:szCs w:val="21"/>
        </w:rPr>
        <w:t>附  录  A</w:t>
      </w:r>
      <w:bookmarkEnd w:id="0"/>
      <w:bookmarkEnd w:id="1"/>
      <w:bookmarkEnd w:id="2"/>
      <w:bookmarkEnd w:id="3"/>
      <w:bookmarkEnd w:id="4"/>
      <w:bookmarkEnd w:id="5"/>
    </w:p>
    <w:p w14:paraId="56C8D281">
      <w:pPr>
        <w:jc w:val="center"/>
        <w:rPr>
          <w:rFonts w:ascii="黑体" w:hAnsi="黑体" w:eastAsia="黑体"/>
        </w:rPr>
      </w:pPr>
      <w:r>
        <w:rPr>
          <w:rFonts w:hint="eastAsia" w:ascii="黑体" w:hAnsi="黑体" w:eastAsia="黑体"/>
        </w:rPr>
        <w:t>（规范性）</w:t>
      </w:r>
    </w:p>
    <w:p w14:paraId="53375DB1">
      <w:pPr>
        <w:jc w:val="center"/>
        <w:rPr>
          <w:rFonts w:ascii="黑体" w:hAnsi="黑体" w:eastAsia="黑体"/>
        </w:rPr>
      </w:pPr>
      <w:r>
        <w:rPr>
          <w:rFonts w:hint="eastAsia" w:ascii="黑体" w:hAnsi="黑体" w:eastAsia="黑体"/>
        </w:rPr>
        <w:t>企业安全文化建设与星级评价评分表</w:t>
      </w:r>
    </w:p>
    <w:p w14:paraId="306A851D">
      <w:pPr>
        <w:rPr>
          <w:rFonts w:ascii="黑体" w:hAnsi="黑体" w:eastAsia="黑体" w:cs="黑体"/>
          <w:szCs w:val="21"/>
        </w:rPr>
      </w:pPr>
      <w:r>
        <w:rPr>
          <w:rFonts w:hint="eastAsia"/>
          <w:szCs w:val="21"/>
        </w:rPr>
        <w:t>表A.1规定了企业安全文化建设与星级评价评分表。</w:t>
      </w:r>
      <w:bookmarkEnd w:id="6"/>
      <w:bookmarkEnd w:id="7"/>
      <w:bookmarkEnd w:id="8"/>
      <w:bookmarkEnd w:id="9"/>
      <w:bookmarkEnd w:id="10"/>
      <w:bookmarkEnd w:id="11"/>
      <w:bookmarkEnd w:id="12"/>
    </w:p>
    <w:tbl>
      <w:tblPr>
        <w:tblStyle w:val="14"/>
        <w:tblpPr w:leftFromText="180" w:rightFromText="180" w:vertAnchor="text" w:horzAnchor="page" w:tblpX="1421" w:tblpY="474"/>
        <w:tblOverlap w:val="never"/>
        <w:tblW w:w="1470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91"/>
        <w:gridCol w:w="1110"/>
        <w:gridCol w:w="10915"/>
        <w:gridCol w:w="708"/>
        <w:gridCol w:w="709"/>
      </w:tblGrid>
      <w:tr w14:paraId="00F78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675" w:type="dxa"/>
            <w:tcBorders>
              <w:top w:val="single" w:color="auto" w:sz="8" w:space="0"/>
              <w:bottom w:val="single" w:color="auto" w:sz="8" w:space="0"/>
            </w:tcBorders>
            <w:vAlign w:val="center"/>
          </w:tcPr>
          <w:p w14:paraId="00DD6BED">
            <w:pPr>
              <w:spacing w:line="300" w:lineRule="exact"/>
              <w:jc w:val="center"/>
              <w:rPr>
                <w:rFonts w:ascii="宋体" w:hAnsi="宋体" w:cs="宋体"/>
                <w:b/>
                <w:sz w:val="18"/>
                <w:szCs w:val="18"/>
              </w:rPr>
            </w:pPr>
            <w:r>
              <w:rPr>
                <w:rFonts w:hint="eastAsia" w:ascii="宋体" w:hAnsi="宋体" w:cs="宋体"/>
                <w:b/>
                <w:kern w:val="0"/>
                <w:sz w:val="18"/>
                <w:szCs w:val="18"/>
              </w:rPr>
              <w:t>序号</w:t>
            </w:r>
          </w:p>
        </w:tc>
        <w:tc>
          <w:tcPr>
            <w:tcW w:w="591" w:type="dxa"/>
            <w:tcBorders>
              <w:top w:val="single" w:color="auto" w:sz="8" w:space="0"/>
              <w:bottom w:val="single" w:color="auto" w:sz="8" w:space="0"/>
            </w:tcBorders>
            <w:vAlign w:val="center"/>
          </w:tcPr>
          <w:p w14:paraId="7BD785A5">
            <w:pPr>
              <w:spacing w:line="300" w:lineRule="exact"/>
              <w:jc w:val="center"/>
              <w:rPr>
                <w:rFonts w:ascii="宋体" w:hAnsi="宋体" w:cs="宋体"/>
                <w:b/>
                <w:kern w:val="0"/>
                <w:sz w:val="18"/>
                <w:szCs w:val="18"/>
              </w:rPr>
            </w:pPr>
            <w:r>
              <w:rPr>
                <w:rFonts w:hint="eastAsia" w:ascii="宋体" w:hAnsi="宋体" w:cs="宋体"/>
                <w:b/>
                <w:kern w:val="0"/>
                <w:sz w:val="18"/>
                <w:szCs w:val="18"/>
              </w:rPr>
              <w:t>指标类别</w:t>
            </w:r>
          </w:p>
        </w:tc>
        <w:tc>
          <w:tcPr>
            <w:tcW w:w="1110" w:type="dxa"/>
            <w:tcBorders>
              <w:top w:val="single" w:color="auto" w:sz="8" w:space="0"/>
              <w:bottom w:val="single" w:color="auto" w:sz="8" w:space="0"/>
            </w:tcBorders>
            <w:vAlign w:val="center"/>
          </w:tcPr>
          <w:p w14:paraId="6C9D6DA7">
            <w:pPr>
              <w:spacing w:line="300" w:lineRule="exact"/>
              <w:jc w:val="center"/>
              <w:rPr>
                <w:rFonts w:ascii="宋体" w:hAnsi="宋体" w:cs="宋体"/>
                <w:b/>
                <w:sz w:val="18"/>
                <w:szCs w:val="18"/>
              </w:rPr>
            </w:pPr>
            <w:r>
              <w:rPr>
                <w:rFonts w:hint="eastAsia" w:ascii="宋体" w:hAnsi="宋体" w:cs="宋体"/>
                <w:b/>
                <w:kern w:val="0"/>
                <w:sz w:val="18"/>
                <w:szCs w:val="18"/>
              </w:rPr>
              <w:t>一级指标</w:t>
            </w:r>
          </w:p>
        </w:tc>
        <w:tc>
          <w:tcPr>
            <w:tcW w:w="10915" w:type="dxa"/>
            <w:tcBorders>
              <w:top w:val="single" w:color="auto" w:sz="8" w:space="0"/>
              <w:bottom w:val="single" w:color="auto" w:sz="8" w:space="0"/>
            </w:tcBorders>
            <w:vAlign w:val="center"/>
          </w:tcPr>
          <w:p w14:paraId="01007202">
            <w:pPr>
              <w:spacing w:line="300" w:lineRule="exact"/>
              <w:jc w:val="center"/>
              <w:rPr>
                <w:rFonts w:ascii="宋体" w:hAnsi="宋体" w:cs="宋体"/>
                <w:b/>
                <w:sz w:val="18"/>
                <w:szCs w:val="18"/>
              </w:rPr>
            </w:pPr>
            <w:r>
              <w:rPr>
                <w:rFonts w:hint="eastAsia" w:ascii="宋体" w:hAnsi="宋体" w:cs="宋体"/>
                <w:b/>
                <w:kern w:val="0"/>
                <w:sz w:val="18"/>
                <w:szCs w:val="18"/>
              </w:rPr>
              <w:t>二级指标</w:t>
            </w:r>
          </w:p>
        </w:tc>
        <w:tc>
          <w:tcPr>
            <w:tcW w:w="708" w:type="dxa"/>
            <w:tcBorders>
              <w:top w:val="single" w:color="auto" w:sz="8" w:space="0"/>
              <w:bottom w:val="single" w:color="auto" w:sz="8" w:space="0"/>
            </w:tcBorders>
            <w:vAlign w:val="center"/>
          </w:tcPr>
          <w:p w14:paraId="1A66DC7B">
            <w:pPr>
              <w:spacing w:line="300" w:lineRule="exact"/>
              <w:jc w:val="center"/>
              <w:rPr>
                <w:rFonts w:ascii="宋体" w:hAnsi="宋体" w:cs="宋体"/>
                <w:b/>
                <w:sz w:val="18"/>
                <w:szCs w:val="18"/>
              </w:rPr>
            </w:pPr>
            <w:r>
              <w:rPr>
                <w:rFonts w:hint="eastAsia" w:ascii="宋体" w:hAnsi="宋体" w:cs="宋体"/>
                <w:b/>
                <w:kern w:val="0"/>
                <w:sz w:val="18"/>
                <w:szCs w:val="18"/>
              </w:rPr>
              <w:t>满分分值</w:t>
            </w:r>
          </w:p>
        </w:tc>
        <w:tc>
          <w:tcPr>
            <w:tcW w:w="709" w:type="dxa"/>
            <w:tcBorders>
              <w:top w:val="single" w:color="auto" w:sz="8" w:space="0"/>
              <w:bottom w:val="single" w:color="auto" w:sz="8" w:space="0"/>
            </w:tcBorders>
            <w:vAlign w:val="center"/>
          </w:tcPr>
          <w:p w14:paraId="2DDC5BF1">
            <w:pPr>
              <w:spacing w:line="300" w:lineRule="exact"/>
              <w:jc w:val="center"/>
              <w:rPr>
                <w:rFonts w:ascii="宋体" w:hAnsi="宋体" w:cs="宋体"/>
                <w:b/>
                <w:sz w:val="18"/>
                <w:szCs w:val="18"/>
              </w:rPr>
            </w:pPr>
            <w:r>
              <w:rPr>
                <w:rFonts w:hint="eastAsia" w:ascii="宋体" w:hAnsi="宋体" w:cs="宋体"/>
                <w:b/>
                <w:kern w:val="0"/>
                <w:sz w:val="18"/>
                <w:szCs w:val="18"/>
              </w:rPr>
              <w:t>评价分值</w:t>
            </w:r>
          </w:p>
        </w:tc>
      </w:tr>
      <w:tr w14:paraId="3B9152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restart"/>
            <w:tcBorders>
              <w:top w:val="single" w:color="auto" w:sz="8" w:space="0"/>
            </w:tcBorders>
            <w:vAlign w:val="center"/>
          </w:tcPr>
          <w:p w14:paraId="686A26EB">
            <w:pPr>
              <w:spacing w:line="300" w:lineRule="exact"/>
              <w:jc w:val="center"/>
              <w:rPr>
                <w:rFonts w:ascii="宋体" w:hAnsi="宋体" w:cs="宋体"/>
                <w:sz w:val="18"/>
                <w:szCs w:val="18"/>
              </w:rPr>
            </w:pPr>
            <w:r>
              <w:rPr>
                <w:rFonts w:hint="eastAsia" w:ascii="宋体" w:hAnsi="宋体" w:cs="宋体"/>
                <w:sz w:val="18"/>
                <w:szCs w:val="18"/>
              </w:rPr>
              <w:t>1</w:t>
            </w:r>
          </w:p>
        </w:tc>
        <w:tc>
          <w:tcPr>
            <w:tcW w:w="591" w:type="dxa"/>
            <w:vMerge w:val="restart"/>
            <w:tcBorders>
              <w:top w:val="single" w:color="auto" w:sz="8" w:space="0"/>
            </w:tcBorders>
            <w:vAlign w:val="center"/>
          </w:tcPr>
          <w:p w14:paraId="2C60D48E">
            <w:pPr>
              <w:spacing w:line="300" w:lineRule="exact"/>
              <w:jc w:val="center"/>
              <w:rPr>
                <w:rFonts w:ascii="宋体" w:hAnsi="宋体" w:cs="宋体"/>
                <w:bCs/>
                <w:kern w:val="0"/>
                <w:sz w:val="18"/>
                <w:szCs w:val="18"/>
              </w:rPr>
            </w:pPr>
            <w:r>
              <w:rPr>
                <w:rFonts w:hint="eastAsia" w:ascii="宋体" w:hAnsi="宋体" w:cs="宋体"/>
                <w:bCs/>
                <w:kern w:val="0"/>
                <w:sz w:val="18"/>
                <w:szCs w:val="18"/>
              </w:rPr>
              <w:t>Ⅰ类</w:t>
            </w:r>
          </w:p>
        </w:tc>
        <w:tc>
          <w:tcPr>
            <w:tcW w:w="1110" w:type="dxa"/>
            <w:vMerge w:val="restart"/>
            <w:tcBorders>
              <w:top w:val="single" w:color="auto" w:sz="8" w:space="0"/>
            </w:tcBorders>
            <w:vAlign w:val="center"/>
          </w:tcPr>
          <w:p w14:paraId="22E529A7">
            <w:pPr>
              <w:spacing w:line="300" w:lineRule="exact"/>
              <w:jc w:val="center"/>
              <w:rPr>
                <w:rFonts w:ascii="宋体" w:hAnsi="宋体" w:cs="宋体"/>
                <w:sz w:val="18"/>
                <w:szCs w:val="18"/>
              </w:rPr>
            </w:pPr>
            <w:r>
              <w:rPr>
                <w:rFonts w:hint="eastAsia" w:ascii="宋体" w:hAnsi="宋体" w:cs="宋体"/>
                <w:bCs/>
                <w:kern w:val="0"/>
                <w:sz w:val="18"/>
                <w:szCs w:val="18"/>
              </w:rPr>
              <w:t>基本条件</w:t>
            </w:r>
          </w:p>
        </w:tc>
        <w:tc>
          <w:tcPr>
            <w:tcW w:w="10915" w:type="dxa"/>
            <w:tcBorders>
              <w:top w:val="single" w:color="auto" w:sz="8" w:space="0"/>
            </w:tcBorders>
            <w:vAlign w:val="center"/>
          </w:tcPr>
          <w:p w14:paraId="0BA1799E">
            <w:pPr>
              <w:spacing w:line="300" w:lineRule="exact"/>
              <w:rPr>
                <w:rFonts w:ascii="宋体" w:hAnsi="宋体" w:cs="宋体"/>
                <w:sz w:val="18"/>
                <w:szCs w:val="18"/>
              </w:rPr>
            </w:pPr>
            <w:r>
              <w:rPr>
                <w:rFonts w:hint="eastAsia" w:ascii="宋体" w:hAnsi="宋体" w:cs="宋体"/>
                <w:kern w:val="0"/>
                <w:sz w:val="18"/>
                <w:szCs w:val="18"/>
              </w:rPr>
              <w:t>1.评价前3年（截至申报当年日期）内未发生死亡或1次3人（含）以上重伤，或造成严重不良社会影响的生产安全责任事故。</w:t>
            </w:r>
          </w:p>
        </w:tc>
        <w:tc>
          <w:tcPr>
            <w:tcW w:w="708" w:type="dxa"/>
            <w:vMerge w:val="restart"/>
            <w:tcBorders>
              <w:top w:val="single" w:color="auto" w:sz="8" w:space="0"/>
            </w:tcBorders>
            <w:vAlign w:val="center"/>
          </w:tcPr>
          <w:p w14:paraId="2486A52C">
            <w:pPr>
              <w:widowControl/>
              <w:spacing w:line="300" w:lineRule="exact"/>
              <w:jc w:val="center"/>
              <w:rPr>
                <w:rFonts w:ascii="宋体" w:hAnsi="宋体" w:cs="宋体"/>
                <w:sz w:val="18"/>
                <w:szCs w:val="18"/>
              </w:rPr>
            </w:pPr>
          </w:p>
        </w:tc>
        <w:tc>
          <w:tcPr>
            <w:tcW w:w="709" w:type="dxa"/>
            <w:vMerge w:val="restart"/>
            <w:tcBorders>
              <w:top w:val="single" w:color="auto" w:sz="8" w:space="0"/>
            </w:tcBorders>
            <w:vAlign w:val="center"/>
          </w:tcPr>
          <w:p w14:paraId="129E4EEA">
            <w:pPr>
              <w:widowControl/>
              <w:spacing w:line="300" w:lineRule="exact"/>
              <w:jc w:val="center"/>
              <w:rPr>
                <w:rFonts w:ascii="宋体" w:hAnsi="宋体" w:cs="宋体"/>
                <w:kern w:val="0"/>
                <w:sz w:val="18"/>
                <w:szCs w:val="18"/>
              </w:rPr>
            </w:pPr>
          </w:p>
        </w:tc>
      </w:tr>
      <w:tr w14:paraId="48467F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21188EF">
            <w:pPr>
              <w:spacing w:line="300" w:lineRule="exact"/>
              <w:jc w:val="center"/>
              <w:rPr>
                <w:rFonts w:ascii="宋体" w:hAnsi="宋体" w:cs="宋体"/>
                <w:sz w:val="18"/>
                <w:szCs w:val="18"/>
              </w:rPr>
            </w:pPr>
          </w:p>
        </w:tc>
        <w:tc>
          <w:tcPr>
            <w:tcW w:w="591" w:type="dxa"/>
            <w:vMerge w:val="continue"/>
            <w:vAlign w:val="center"/>
          </w:tcPr>
          <w:p w14:paraId="63B6BB2C">
            <w:pPr>
              <w:spacing w:line="300" w:lineRule="exact"/>
              <w:jc w:val="center"/>
              <w:rPr>
                <w:rFonts w:ascii="宋体" w:hAnsi="宋体" w:cs="宋体"/>
                <w:bCs/>
                <w:kern w:val="0"/>
                <w:sz w:val="18"/>
                <w:szCs w:val="18"/>
              </w:rPr>
            </w:pPr>
          </w:p>
        </w:tc>
        <w:tc>
          <w:tcPr>
            <w:tcW w:w="1110" w:type="dxa"/>
            <w:vMerge w:val="continue"/>
            <w:vAlign w:val="center"/>
          </w:tcPr>
          <w:p w14:paraId="75120B5C">
            <w:pPr>
              <w:spacing w:line="300" w:lineRule="exact"/>
              <w:jc w:val="center"/>
              <w:rPr>
                <w:rFonts w:ascii="宋体" w:hAnsi="宋体" w:cs="宋体"/>
                <w:sz w:val="18"/>
                <w:szCs w:val="18"/>
              </w:rPr>
            </w:pPr>
          </w:p>
        </w:tc>
        <w:tc>
          <w:tcPr>
            <w:tcW w:w="10915" w:type="dxa"/>
            <w:vAlign w:val="center"/>
          </w:tcPr>
          <w:p w14:paraId="6165B4CB">
            <w:pPr>
              <w:spacing w:line="300" w:lineRule="exact"/>
              <w:rPr>
                <w:rFonts w:ascii="宋体" w:hAnsi="宋体" w:cs="宋体"/>
                <w:sz w:val="18"/>
                <w:szCs w:val="18"/>
              </w:rPr>
            </w:pPr>
            <w:r>
              <w:rPr>
                <w:rFonts w:hint="eastAsia" w:ascii="宋体" w:hAnsi="宋体" w:cs="宋体"/>
                <w:kern w:val="0"/>
                <w:sz w:val="18"/>
                <w:szCs w:val="18"/>
              </w:rPr>
              <w:t>2.开展安全文化建设工作至少满3年。</w:t>
            </w:r>
          </w:p>
        </w:tc>
        <w:tc>
          <w:tcPr>
            <w:tcW w:w="708" w:type="dxa"/>
            <w:vMerge w:val="continue"/>
            <w:vAlign w:val="center"/>
          </w:tcPr>
          <w:p w14:paraId="694E150E">
            <w:pPr>
              <w:widowControl/>
              <w:spacing w:line="300" w:lineRule="exact"/>
              <w:jc w:val="center"/>
              <w:rPr>
                <w:rFonts w:ascii="宋体" w:hAnsi="宋体" w:cs="宋体"/>
                <w:sz w:val="18"/>
                <w:szCs w:val="18"/>
              </w:rPr>
            </w:pPr>
          </w:p>
        </w:tc>
        <w:tc>
          <w:tcPr>
            <w:tcW w:w="709" w:type="dxa"/>
            <w:vMerge w:val="continue"/>
            <w:vAlign w:val="center"/>
          </w:tcPr>
          <w:p w14:paraId="57D7CEB5">
            <w:pPr>
              <w:widowControl/>
              <w:spacing w:line="300" w:lineRule="exact"/>
              <w:jc w:val="center"/>
              <w:rPr>
                <w:rFonts w:ascii="宋体" w:hAnsi="宋体" w:cs="宋体"/>
                <w:sz w:val="18"/>
                <w:szCs w:val="18"/>
              </w:rPr>
            </w:pPr>
          </w:p>
        </w:tc>
      </w:tr>
      <w:tr w14:paraId="7F1314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79AED084">
            <w:pPr>
              <w:spacing w:line="300" w:lineRule="exact"/>
              <w:jc w:val="center"/>
              <w:rPr>
                <w:rFonts w:ascii="宋体" w:hAnsi="宋体" w:cs="宋体"/>
                <w:sz w:val="18"/>
                <w:szCs w:val="18"/>
              </w:rPr>
            </w:pPr>
          </w:p>
        </w:tc>
        <w:tc>
          <w:tcPr>
            <w:tcW w:w="591" w:type="dxa"/>
            <w:vMerge w:val="continue"/>
            <w:vAlign w:val="center"/>
          </w:tcPr>
          <w:p w14:paraId="3C41B4E1">
            <w:pPr>
              <w:spacing w:line="300" w:lineRule="exact"/>
              <w:jc w:val="center"/>
              <w:rPr>
                <w:rFonts w:ascii="宋体" w:hAnsi="宋体" w:cs="宋体"/>
                <w:bCs/>
                <w:kern w:val="0"/>
                <w:sz w:val="18"/>
                <w:szCs w:val="18"/>
              </w:rPr>
            </w:pPr>
          </w:p>
        </w:tc>
        <w:tc>
          <w:tcPr>
            <w:tcW w:w="1110" w:type="dxa"/>
            <w:vMerge w:val="continue"/>
            <w:vAlign w:val="center"/>
          </w:tcPr>
          <w:p w14:paraId="542E750C">
            <w:pPr>
              <w:spacing w:line="300" w:lineRule="exact"/>
              <w:jc w:val="center"/>
              <w:rPr>
                <w:rFonts w:ascii="宋体" w:hAnsi="宋体" w:cs="宋体"/>
                <w:sz w:val="18"/>
                <w:szCs w:val="18"/>
              </w:rPr>
            </w:pPr>
          </w:p>
        </w:tc>
        <w:tc>
          <w:tcPr>
            <w:tcW w:w="10915" w:type="dxa"/>
            <w:vAlign w:val="center"/>
          </w:tcPr>
          <w:p w14:paraId="296EF48D">
            <w:pPr>
              <w:spacing w:line="300" w:lineRule="exact"/>
              <w:rPr>
                <w:rFonts w:ascii="宋体" w:hAnsi="宋体" w:cs="宋体"/>
                <w:sz w:val="18"/>
                <w:szCs w:val="18"/>
              </w:rPr>
            </w:pPr>
            <w:r>
              <w:rPr>
                <w:rFonts w:hint="eastAsia" w:ascii="宋体" w:hAnsi="宋体" w:cs="宋体"/>
                <w:kern w:val="0"/>
                <w:sz w:val="18"/>
                <w:szCs w:val="18"/>
              </w:rPr>
              <w:t>3.安全生产标准化达标（未开展行业按所属行业要求执行）。</w:t>
            </w:r>
          </w:p>
        </w:tc>
        <w:tc>
          <w:tcPr>
            <w:tcW w:w="708" w:type="dxa"/>
            <w:vMerge w:val="continue"/>
            <w:vAlign w:val="center"/>
          </w:tcPr>
          <w:p w14:paraId="2798E0D3">
            <w:pPr>
              <w:widowControl/>
              <w:spacing w:line="300" w:lineRule="exact"/>
              <w:jc w:val="center"/>
              <w:rPr>
                <w:rFonts w:ascii="宋体" w:hAnsi="宋体" w:cs="宋体"/>
                <w:sz w:val="18"/>
                <w:szCs w:val="18"/>
              </w:rPr>
            </w:pPr>
          </w:p>
        </w:tc>
        <w:tc>
          <w:tcPr>
            <w:tcW w:w="709" w:type="dxa"/>
            <w:vMerge w:val="continue"/>
            <w:vAlign w:val="center"/>
          </w:tcPr>
          <w:p w14:paraId="3B6D84F5">
            <w:pPr>
              <w:widowControl/>
              <w:spacing w:line="300" w:lineRule="exact"/>
              <w:jc w:val="center"/>
              <w:rPr>
                <w:rFonts w:ascii="宋体" w:hAnsi="宋体" w:cs="宋体"/>
                <w:sz w:val="18"/>
                <w:szCs w:val="18"/>
              </w:rPr>
            </w:pPr>
          </w:p>
        </w:tc>
      </w:tr>
      <w:tr w14:paraId="087E56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48D282E8">
            <w:pPr>
              <w:spacing w:line="300" w:lineRule="exact"/>
              <w:jc w:val="center"/>
              <w:rPr>
                <w:rFonts w:ascii="宋体" w:hAnsi="宋体" w:cs="宋体"/>
                <w:sz w:val="18"/>
                <w:szCs w:val="18"/>
              </w:rPr>
            </w:pPr>
            <w:r>
              <w:rPr>
                <w:rFonts w:hint="eastAsia" w:ascii="宋体" w:hAnsi="宋体" w:cs="宋体"/>
                <w:sz w:val="18"/>
                <w:szCs w:val="18"/>
              </w:rPr>
              <w:t>2</w:t>
            </w:r>
          </w:p>
        </w:tc>
        <w:tc>
          <w:tcPr>
            <w:tcW w:w="591" w:type="dxa"/>
            <w:vMerge w:val="restart"/>
            <w:vAlign w:val="center"/>
          </w:tcPr>
          <w:p w14:paraId="262A3C4F">
            <w:pPr>
              <w:spacing w:line="300" w:lineRule="exact"/>
              <w:jc w:val="center"/>
              <w:rPr>
                <w:rFonts w:ascii="宋体" w:hAnsi="宋体" w:cs="宋体"/>
                <w:bCs/>
                <w:kern w:val="0"/>
                <w:sz w:val="18"/>
                <w:szCs w:val="18"/>
              </w:rPr>
            </w:pPr>
            <w:r>
              <w:rPr>
                <w:rFonts w:hint="eastAsia" w:ascii="宋体" w:hAnsi="宋体" w:cs="宋体"/>
                <w:bCs/>
                <w:kern w:val="0"/>
                <w:sz w:val="18"/>
                <w:szCs w:val="18"/>
              </w:rPr>
              <w:t>Ⅱ类</w:t>
            </w:r>
          </w:p>
        </w:tc>
        <w:tc>
          <w:tcPr>
            <w:tcW w:w="1110" w:type="dxa"/>
            <w:vMerge w:val="restart"/>
            <w:vAlign w:val="center"/>
          </w:tcPr>
          <w:p w14:paraId="2D162FE6">
            <w:pPr>
              <w:spacing w:line="300" w:lineRule="exact"/>
              <w:rPr>
                <w:rFonts w:ascii="宋体" w:hAnsi="宋体" w:cs="宋体"/>
                <w:sz w:val="18"/>
                <w:szCs w:val="18"/>
              </w:rPr>
            </w:pPr>
            <w:r>
              <w:rPr>
                <w:rFonts w:ascii="宋体" w:hAnsi="宋体" w:cs="宋体"/>
                <w:sz w:val="18"/>
                <w:szCs w:val="18"/>
              </w:rPr>
              <w:t>保障条件（7.5分）</w:t>
            </w:r>
          </w:p>
        </w:tc>
        <w:tc>
          <w:tcPr>
            <w:tcW w:w="10915" w:type="dxa"/>
          </w:tcPr>
          <w:p w14:paraId="0F162A1B">
            <w:pPr>
              <w:spacing w:line="300" w:lineRule="exact"/>
              <w:rPr>
                <w:rFonts w:ascii="宋体" w:hAnsi="宋体" w:cs="宋体"/>
                <w:sz w:val="18"/>
                <w:szCs w:val="18"/>
              </w:rPr>
            </w:pPr>
            <w:r>
              <w:rPr>
                <w:rFonts w:hint="eastAsia" w:ascii="宋体" w:hAnsi="宋体" w:cs="宋体"/>
                <w:kern w:val="0"/>
                <w:sz w:val="18"/>
                <w:szCs w:val="18"/>
              </w:rPr>
              <w:t>1.</w:t>
            </w:r>
            <w:r>
              <w:rPr>
                <w:rFonts w:hint="eastAsia"/>
                <w:sz w:val="18"/>
                <w:szCs w:val="18"/>
              </w:rPr>
              <w:t>应把安全文化建设纳入企业文化建设，做到“四有”：有领导机构、有建设规划、有实施方案、有经费保障</w:t>
            </w:r>
            <w:r>
              <w:rPr>
                <w:rFonts w:hint="eastAsia" w:ascii="宋体" w:hAnsi="宋体" w:cs="宋体"/>
                <w:kern w:val="0"/>
                <w:sz w:val="18"/>
                <w:szCs w:val="18"/>
              </w:rPr>
              <w:t>。</w:t>
            </w:r>
          </w:p>
        </w:tc>
        <w:tc>
          <w:tcPr>
            <w:tcW w:w="708" w:type="dxa"/>
            <w:vAlign w:val="center"/>
          </w:tcPr>
          <w:p w14:paraId="5DB3AC23">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709" w:type="dxa"/>
          </w:tcPr>
          <w:p w14:paraId="40AB0B20">
            <w:pPr>
              <w:spacing w:line="300" w:lineRule="exact"/>
              <w:rPr>
                <w:rFonts w:ascii="宋体" w:hAnsi="宋体" w:cs="宋体"/>
                <w:sz w:val="18"/>
                <w:szCs w:val="18"/>
              </w:rPr>
            </w:pPr>
          </w:p>
        </w:tc>
      </w:tr>
      <w:tr w14:paraId="140DD7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72986A7">
            <w:pPr>
              <w:spacing w:line="300" w:lineRule="exact"/>
              <w:jc w:val="center"/>
              <w:rPr>
                <w:rFonts w:ascii="宋体" w:hAnsi="宋体" w:cs="宋体"/>
                <w:sz w:val="18"/>
                <w:szCs w:val="18"/>
              </w:rPr>
            </w:pPr>
          </w:p>
        </w:tc>
        <w:tc>
          <w:tcPr>
            <w:tcW w:w="591" w:type="dxa"/>
            <w:vMerge w:val="continue"/>
            <w:vAlign w:val="center"/>
          </w:tcPr>
          <w:p w14:paraId="1CCB31F1">
            <w:pPr>
              <w:spacing w:line="300" w:lineRule="exact"/>
              <w:jc w:val="center"/>
              <w:rPr>
                <w:rFonts w:ascii="宋体" w:hAnsi="宋体" w:cs="宋体"/>
                <w:bCs/>
                <w:kern w:val="0"/>
                <w:sz w:val="18"/>
                <w:szCs w:val="18"/>
              </w:rPr>
            </w:pPr>
          </w:p>
        </w:tc>
        <w:tc>
          <w:tcPr>
            <w:tcW w:w="1110" w:type="dxa"/>
            <w:vMerge w:val="continue"/>
            <w:vAlign w:val="center"/>
          </w:tcPr>
          <w:p w14:paraId="57BBC278">
            <w:pPr>
              <w:spacing w:line="300" w:lineRule="exact"/>
              <w:jc w:val="left"/>
              <w:rPr>
                <w:rFonts w:ascii="宋体" w:hAnsi="宋体" w:cs="宋体"/>
                <w:sz w:val="18"/>
                <w:szCs w:val="18"/>
              </w:rPr>
            </w:pPr>
          </w:p>
        </w:tc>
        <w:tc>
          <w:tcPr>
            <w:tcW w:w="10915" w:type="dxa"/>
          </w:tcPr>
          <w:p w14:paraId="401090D5">
            <w:pPr>
              <w:spacing w:line="300" w:lineRule="exact"/>
              <w:rPr>
                <w:rFonts w:ascii="宋体" w:hAnsi="宋体" w:cs="宋体"/>
                <w:sz w:val="18"/>
                <w:szCs w:val="18"/>
              </w:rPr>
            </w:pPr>
            <w:r>
              <w:rPr>
                <w:rFonts w:hint="eastAsia" w:ascii="宋体" w:hAnsi="宋体" w:cs="宋体"/>
                <w:kern w:val="0"/>
                <w:sz w:val="18"/>
                <w:szCs w:val="18"/>
              </w:rPr>
              <w:t>2.企业领导层特别是主要负责人高度重视安全文化建设,组织企业开展安全文化建设活动。</w:t>
            </w:r>
          </w:p>
        </w:tc>
        <w:tc>
          <w:tcPr>
            <w:tcW w:w="708" w:type="dxa"/>
            <w:vAlign w:val="center"/>
          </w:tcPr>
          <w:p w14:paraId="39257070">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709" w:type="dxa"/>
          </w:tcPr>
          <w:p w14:paraId="2FD1C14D">
            <w:pPr>
              <w:spacing w:line="300" w:lineRule="exact"/>
              <w:rPr>
                <w:rFonts w:ascii="宋体" w:hAnsi="宋体" w:cs="宋体"/>
                <w:sz w:val="18"/>
                <w:szCs w:val="18"/>
              </w:rPr>
            </w:pPr>
          </w:p>
        </w:tc>
      </w:tr>
      <w:tr w14:paraId="10C17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4EB0146">
            <w:pPr>
              <w:spacing w:line="300" w:lineRule="exact"/>
              <w:jc w:val="center"/>
              <w:rPr>
                <w:rFonts w:ascii="宋体" w:hAnsi="宋体" w:cs="宋体"/>
                <w:sz w:val="18"/>
                <w:szCs w:val="18"/>
              </w:rPr>
            </w:pPr>
          </w:p>
        </w:tc>
        <w:tc>
          <w:tcPr>
            <w:tcW w:w="591" w:type="dxa"/>
            <w:vMerge w:val="continue"/>
            <w:vAlign w:val="center"/>
          </w:tcPr>
          <w:p w14:paraId="561F3B8C">
            <w:pPr>
              <w:spacing w:line="300" w:lineRule="exact"/>
              <w:jc w:val="center"/>
              <w:rPr>
                <w:rFonts w:ascii="宋体" w:hAnsi="宋体" w:cs="宋体"/>
                <w:bCs/>
                <w:kern w:val="0"/>
                <w:sz w:val="18"/>
                <w:szCs w:val="18"/>
              </w:rPr>
            </w:pPr>
          </w:p>
        </w:tc>
        <w:tc>
          <w:tcPr>
            <w:tcW w:w="1110" w:type="dxa"/>
            <w:vMerge w:val="continue"/>
            <w:vAlign w:val="center"/>
          </w:tcPr>
          <w:p w14:paraId="36D677FA">
            <w:pPr>
              <w:spacing w:line="300" w:lineRule="exact"/>
              <w:jc w:val="left"/>
              <w:rPr>
                <w:rFonts w:ascii="宋体" w:hAnsi="宋体" w:cs="宋体"/>
                <w:sz w:val="18"/>
                <w:szCs w:val="18"/>
              </w:rPr>
            </w:pPr>
          </w:p>
        </w:tc>
        <w:tc>
          <w:tcPr>
            <w:tcW w:w="10915" w:type="dxa"/>
          </w:tcPr>
          <w:p w14:paraId="4DF1C70C">
            <w:pPr>
              <w:spacing w:line="300" w:lineRule="exact"/>
              <w:rPr>
                <w:rFonts w:ascii="宋体" w:hAnsi="宋体" w:cs="宋体"/>
                <w:sz w:val="18"/>
                <w:szCs w:val="18"/>
              </w:rPr>
            </w:pPr>
            <w:r>
              <w:rPr>
                <w:rFonts w:hint="eastAsia" w:ascii="宋体" w:hAnsi="宋体" w:cs="宋体"/>
                <w:kern w:val="0"/>
                <w:sz w:val="18"/>
                <w:szCs w:val="18"/>
              </w:rPr>
              <w:t>3.</w:t>
            </w:r>
            <w:r>
              <w:rPr>
                <w:rFonts w:hint="eastAsia"/>
                <w:sz w:val="18"/>
                <w:szCs w:val="18"/>
              </w:rPr>
              <w:t>应有全员参与、认同、共享安全文化建设的</w:t>
            </w:r>
            <w:r>
              <w:rPr>
                <w:rFonts w:hint="eastAsia" w:hAnsi="宋体" w:cs="宋体"/>
                <w:sz w:val="18"/>
                <w:szCs w:val="18"/>
              </w:rPr>
              <w:t>保障制度和工作机制。</w:t>
            </w:r>
          </w:p>
        </w:tc>
        <w:tc>
          <w:tcPr>
            <w:tcW w:w="708" w:type="dxa"/>
            <w:vAlign w:val="center"/>
          </w:tcPr>
          <w:p w14:paraId="4617691D">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709" w:type="dxa"/>
          </w:tcPr>
          <w:p w14:paraId="12BABC40">
            <w:pPr>
              <w:spacing w:line="300" w:lineRule="exact"/>
              <w:rPr>
                <w:rFonts w:ascii="宋体" w:hAnsi="宋体" w:cs="宋体"/>
                <w:sz w:val="18"/>
                <w:szCs w:val="18"/>
              </w:rPr>
            </w:pPr>
          </w:p>
        </w:tc>
      </w:tr>
      <w:tr w14:paraId="7F6E49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359F6F44">
            <w:pPr>
              <w:spacing w:line="300" w:lineRule="exact"/>
              <w:jc w:val="center"/>
              <w:rPr>
                <w:rFonts w:ascii="宋体" w:hAnsi="宋体" w:cs="宋体"/>
                <w:sz w:val="18"/>
                <w:szCs w:val="18"/>
              </w:rPr>
            </w:pPr>
            <w:r>
              <w:rPr>
                <w:rFonts w:hint="eastAsia" w:ascii="宋体" w:hAnsi="宋体" w:cs="宋体"/>
                <w:sz w:val="18"/>
                <w:szCs w:val="18"/>
              </w:rPr>
              <w:t>3</w:t>
            </w:r>
          </w:p>
        </w:tc>
        <w:tc>
          <w:tcPr>
            <w:tcW w:w="591" w:type="dxa"/>
            <w:vMerge w:val="restart"/>
            <w:vAlign w:val="center"/>
          </w:tcPr>
          <w:p w14:paraId="791910FB">
            <w:pPr>
              <w:spacing w:line="300" w:lineRule="exact"/>
              <w:jc w:val="center"/>
              <w:rPr>
                <w:rFonts w:ascii="宋体" w:hAnsi="宋体" w:cs="宋体"/>
                <w:bCs/>
                <w:kern w:val="0"/>
                <w:sz w:val="18"/>
                <w:szCs w:val="18"/>
              </w:rPr>
            </w:pPr>
            <w:r>
              <w:rPr>
                <w:rFonts w:hint="eastAsia" w:ascii="宋体" w:hAnsi="宋体" w:cs="宋体"/>
                <w:bCs/>
                <w:kern w:val="0"/>
                <w:sz w:val="18"/>
                <w:szCs w:val="18"/>
              </w:rPr>
              <w:t>Ⅱ类</w:t>
            </w:r>
          </w:p>
        </w:tc>
        <w:tc>
          <w:tcPr>
            <w:tcW w:w="1110" w:type="dxa"/>
            <w:vMerge w:val="restart"/>
            <w:vAlign w:val="center"/>
          </w:tcPr>
          <w:p w14:paraId="3FB4FDF5">
            <w:pPr>
              <w:spacing w:line="300" w:lineRule="exact"/>
              <w:jc w:val="center"/>
              <w:rPr>
                <w:rFonts w:ascii="宋体" w:hAnsi="宋体" w:cs="宋体"/>
                <w:bCs/>
                <w:kern w:val="0"/>
                <w:sz w:val="18"/>
                <w:szCs w:val="18"/>
              </w:rPr>
            </w:pPr>
            <w:r>
              <w:rPr>
                <w:rFonts w:hint="eastAsia" w:ascii="宋体" w:hAnsi="宋体" w:cs="宋体"/>
                <w:bCs/>
                <w:kern w:val="0"/>
                <w:sz w:val="18"/>
                <w:szCs w:val="18"/>
              </w:rPr>
              <w:t>安全理念文化</w:t>
            </w:r>
          </w:p>
          <w:p w14:paraId="3DFA4CE7">
            <w:pPr>
              <w:spacing w:line="300" w:lineRule="exact"/>
              <w:jc w:val="center"/>
              <w:rPr>
                <w:rFonts w:ascii="宋体" w:hAnsi="宋体" w:cs="宋体"/>
                <w:sz w:val="18"/>
                <w:szCs w:val="18"/>
              </w:rPr>
            </w:pPr>
            <w:r>
              <w:rPr>
                <w:rFonts w:hint="eastAsia" w:ascii="宋体" w:hAnsi="宋体" w:cs="宋体"/>
                <w:bCs/>
                <w:kern w:val="0"/>
                <w:sz w:val="18"/>
                <w:szCs w:val="18"/>
              </w:rPr>
              <w:t>（</w:t>
            </w:r>
            <w:r>
              <w:rPr>
                <w:rFonts w:ascii="宋体" w:hAnsi="宋体" w:cs="宋体"/>
                <w:bCs/>
                <w:kern w:val="0"/>
                <w:sz w:val="18"/>
                <w:szCs w:val="18"/>
              </w:rPr>
              <w:t>10</w:t>
            </w:r>
            <w:r>
              <w:rPr>
                <w:rFonts w:hint="eastAsia" w:ascii="宋体" w:hAnsi="宋体" w:cs="宋体"/>
                <w:bCs/>
                <w:kern w:val="0"/>
                <w:sz w:val="18"/>
                <w:szCs w:val="18"/>
              </w:rPr>
              <w:t>分）</w:t>
            </w:r>
          </w:p>
        </w:tc>
        <w:tc>
          <w:tcPr>
            <w:tcW w:w="10915" w:type="dxa"/>
          </w:tcPr>
          <w:p w14:paraId="0A22EDF1">
            <w:pPr>
              <w:spacing w:line="300" w:lineRule="exact"/>
              <w:rPr>
                <w:rFonts w:ascii="宋体" w:hAnsi="宋体" w:cs="宋体"/>
                <w:sz w:val="18"/>
                <w:szCs w:val="18"/>
              </w:rPr>
            </w:pPr>
            <w:r>
              <w:rPr>
                <w:rFonts w:ascii="宋体" w:hAnsi="宋体" w:cs="宋体"/>
                <w:kern w:val="0"/>
                <w:sz w:val="18"/>
                <w:szCs w:val="18"/>
              </w:rPr>
              <w:t>4</w:t>
            </w:r>
            <w:r>
              <w:rPr>
                <w:rFonts w:hint="eastAsia" w:ascii="宋体" w:hAnsi="宋体" w:cs="宋体"/>
                <w:kern w:val="0"/>
                <w:sz w:val="18"/>
                <w:szCs w:val="18"/>
              </w:rPr>
              <w:t>.应坚持“安全第一、预防为主、综合治理”的方针，围绕“人民至上、生命至上”“统筹发展和安全”等理念，结合企业自身实际，总结提炼出有企业文化底蕴支撑、全体员工认同、易于理解记忆，具有感召力的核心安全理念。核心安全理念体系应完整，包括但不限于企业核心安全理念、安全价值观、安全愿景、安全使命、安全目标等。</w:t>
            </w:r>
          </w:p>
        </w:tc>
        <w:tc>
          <w:tcPr>
            <w:tcW w:w="708" w:type="dxa"/>
            <w:vAlign w:val="center"/>
          </w:tcPr>
          <w:p w14:paraId="37A4B318">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709" w:type="dxa"/>
          </w:tcPr>
          <w:p w14:paraId="0CB2C6D4">
            <w:pPr>
              <w:spacing w:line="300" w:lineRule="exact"/>
              <w:rPr>
                <w:rFonts w:ascii="宋体" w:hAnsi="宋体" w:cs="宋体"/>
                <w:sz w:val="18"/>
                <w:szCs w:val="18"/>
              </w:rPr>
            </w:pPr>
          </w:p>
        </w:tc>
      </w:tr>
      <w:tr w14:paraId="6DCBD1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C62236A">
            <w:pPr>
              <w:spacing w:line="300" w:lineRule="exact"/>
              <w:jc w:val="center"/>
              <w:rPr>
                <w:rFonts w:ascii="宋体" w:hAnsi="宋体" w:cs="宋体"/>
                <w:sz w:val="18"/>
                <w:szCs w:val="18"/>
              </w:rPr>
            </w:pPr>
          </w:p>
        </w:tc>
        <w:tc>
          <w:tcPr>
            <w:tcW w:w="591" w:type="dxa"/>
            <w:vMerge w:val="continue"/>
            <w:vAlign w:val="center"/>
          </w:tcPr>
          <w:p w14:paraId="02D67CAA">
            <w:pPr>
              <w:spacing w:line="300" w:lineRule="exact"/>
              <w:jc w:val="center"/>
              <w:rPr>
                <w:rFonts w:ascii="宋体" w:hAnsi="宋体" w:cs="宋体"/>
                <w:sz w:val="18"/>
                <w:szCs w:val="18"/>
              </w:rPr>
            </w:pPr>
          </w:p>
        </w:tc>
        <w:tc>
          <w:tcPr>
            <w:tcW w:w="1110" w:type="dxa"/>
            <w:vMerge w:val="continue"/>
            <w:vAlign w:val="center"/>
          </w:tcPr>
          <w:p w14:paraId="29814116">
            <w:pPr>
              <w:spacing w:line="300" w:lineRule="exact"/>
              <w:jc w:val="center"/>
              <w:rPr>
                <w:rFonts w:ascii="宋体" w:hAnsi="宋体" w:cs="宋体"/>
                <w:sz w:val="18"/>
                <w:szCs w:val="18"/>
              </w:rPr>
            </w:pPr>
          </w:p>
        </w:tc>
        <w:tc>
          <w:tcPr>
            <w:tcW w:w="10915" w:type="dxa"/>
          </w:tcPr>
          <w:p w14:paraId="0A3D4105">
            <w:pPr>
              <w:spacing w:line="300" w:lineRule="exact"/>
              <w:rPr>
                <w:rFonts w:ascii="宋体" w:hAnsi="宋体" w:cs="宋体"/>
                <w:sz w:val="18"/>
                <w:szCs w:val="18"/>
              </w:rPr>
            </w:pPr>
            <w:r>
              <w:rPr>
                <w:rFonts w:ascii="宋体" w:hAnsi="宋体" w:cs="宋体"/>
                <w:kern w:val="0"/>
                <w:sz w:val="18"/>
                <w:szCs w:val="18"/>
              </w:rPr>
              <w:t>5</w:t>
            </w:r>
            <w:r>
              <w:rPr>
                <w:rFonts w:hint="eastAsia" w:ascii="宋体" w:hAnsi="宋体" w:cs="宋体"/>
                <w:kern w:val="0"/>
                <w:sz w:val="18"/>
                <w:szCs w:val="18"/>
              </w:rPr>
              <w:t>.</w:t>
            </w:r>
            <w:r>
              <w:rPr>
                <w:rFonts w:hint="eastAsia"/>
                <w:sz w:val="18"/>
                <w:szCs w:val="18"/>
              </w:rPr>
              <w:t>企业主要负责人应围绕安全理念作出公开的安全承诺，全体员工签订安全承诺书，树立“诚信安全”的自律意识，各管理部门、技术部门以及各团队应建立专项安全理念。</w:t>
            </w:r>
          </w:p>
        </w:tc>
        <w:tc>
          <w:tcPr>
            <w:tcW w:w="708" w:type="dxa"/>
            <w:vAlign w:val="center"/>
          </w:tcPr>
          <w:p w14:paraId="300892B1">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709" w:type="dxa"/>
          </w:tcPr>
          <w:p w14:paraId="0CD17416">
            <w:pPr>
              <w:spacing w:line="300" w:lineRule="exact"/>
              <w:rPr>
                <w:rFonts w:ascii="宋体" w:hAnsi="宋体" w:cs="宋体"/>
                <w:sz w:val="18"/>
                <w:szCs w:val="18"/>
              </w:rPr>
            </w:pPr>
          </w:p>
        </w:tc>
      </w:tr>
      <w:tr w14:paraId="25C0F1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727C242">
            <w:pPr>
              <w:spacing w:line="300" w:lineRule="exact"/>
              <w:jc w:val="center"/>
              <w:rPr>
                <w:rFonts w:ascii="宋体" w:hAnsi="宋体" w:cs="宋体"/>
                <w:sz w:val="18"/>
                <w:szCs w:val="18"/>
              </w:rPr>
            </w:pPr>
          </w:p>
        </w:tc>
        <w:tc>
          <w:tcPr>
            <w:tcW w:w="591" w:type="dxa"/>
            <w:vMerge w:val="continue"/>
            <w:vAlign w:val="center"/>
          </w:tcPr>
          <w:p w14:paraId="08905143">
            <w:pPr>
              <w:spacing w:line="300" w:lineRule="exact"/>
              <w:jc w:val="center"/>
              <w:rPr>
                <w:rFonts w:ascii="宋体" w:hAnsi="宋体" w:cs="宋体"/>
                <w:sz w:val="18"/>
                <w:szCs w:val="18"/>
              </w:rPr>
            </w:pPr>
          </w:p>
        </w:tc>
        <w:tc>
          <w:tcPr>
            <w:tcW w:w="1110" w:type="dxa"/>
            <w:vMerge w:val="continue"/>
            <w:vAlign w:val="center"/>
          </w:tcPr>
          <w:p w14:paraId="12188D61">
            <w:pPr>
              <w:spacing w:line="300" w:lineRule="exact"/>
              <w:jc w:val="center"/>
              <w:rPr>
                <w:rFonts w:ascii="宋体" w:hAnsi="宋体" w:cs="宋体"/>
                <w:sz w:val="18"/>
                <w:szCs w:val="18"/>
              </w:rPr>
            </w:pPr>
          </w:p>
        </w:tc>
        <w:tc>
          <w:tcPr>
            <w:tcW w:w="10915" w:type="dxa"/>
            <w:vAlign w:val="center"/>
          </w:tcPr>
          <w:p w14:paraId="738E2264">
            <w:pPr>
              <w:spacing w:line="300" w:lineRule="exact"/>
              <w:rPr>
                <w:rFonts w:ascii="宋体" w:hAnsi="宋体" w:cs="宋体"/>
                <w:sz w:val="18"/>
                <w:szCs w:val="18"/>
              </w:rPr>
            </w:pPr>
            <w:r>
              <w:rPr>
                <w:rFonts w:ascii="宋体" w:hAnsi="宋体" w:cs="宋体"/>
                <w:kern w:val="0"/>
                <w:sz w:val="18"/>
                <w:szCs w:val="18"/>
              </w:rPr>
              <w:t>6</w:t>
            </w:r>
            <w:r>
              <w:rPr>
                <w:rFonts w:hint="eastAsia" w:ascii="宋体" w:hAnsi="宋体" w:cs="宋体"/>
                <w:kern w:val="0"/>
                <w:sz w:val="18"/>
                <w:szCs w:val="18"/>
              </w:rPr>
              <w:t>.</w:t>
            </w:r>
            <w:r>
              <w:rPr>
                <w:rFonts w:hint="eastAsia"/>
                <w:sz w:val="18"/>
                <w:szCs w:val="18"/>
              </w:rPr>
              <w:t>应采用</w:t>
            </w:r>
            <w:r>
              <w:rPr>
                <w:rFonts w:hint="eastAsia" w:hAnsi="宋体" w:cs="宋体"/>
                <w:sz w:val="18"/>
                <w:szCs w:val="18"/>
              </w:rPr>
              <w:t>形式多样的</w:t>
            </w:r>
            <w:r>
              <w:rPr>
                <w:rFonts w:hint="eastAsia"/>
                <w:sz w:val="18"/>
                <w:szCs w:val="18"/>
              </w:rPr>
              <w:t>宣传教育手段传播、固化、植入安全理念，全体员工经常参与安全理念的学习与培训活动，</w:t>
            </w:r>
            <w:r>
              <w:rPr>
                <w:sz w:val="18"/>
                <w:szCs w:val="18"/>
              </w:rPr>
              <w:t>确保员工能够记忆、理解和掌握安全理念体系内容</w:t>
            </w:r>
            <w:r>
              <w:rPr>
                <w:rFonts w:hint="eastAsia"/>
                <w:sz w:val="18"/>
                <w:szCs w:val="18"/>
              </w:rPr>
              <w:t>。</w:t>
            </w:r>
          </w:p>
        </w:tc>
        <w:tc>
          <w:tcPr>
            <w:tcW w:w="708" w:type="dxa"/>
            <w:vAlign w:val="center"/>
          </w:tcPr>
          <w:p w14:paraId="27C009D1">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709" w:type="dxa"/>
          </w:tcPr>
          <w:p w14:paraId="2950AC9E">
            <w:pPr>
              <w:spacing w:line="300" w:lineRule="exact"/>
              <w:rPr>
                <w:rFonts w:ascii="宋体" w:hAnsi="宋体" w:cs="宋体"/>
                <w:sz w:val="18"/>
                <w:szCs w:val="18"/>
              </w:rPr>
            </w:pPr>
          </w:p>
        </w:tc>
      </w:tr>
      <w:tr w14:paraId="5596B6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B062568">
            <w:pPr>
              <w:spacing w:line="300" w:lineRule="exact"/>
              <w:jc w:val="center"/>
              <w:rPr>
                <w:rFonts w:ascii="宋体" w:hAnsi="宋体" w:cs="宋体"/>
                <w:sz w:val="18"/>
                <w:szCs w:val="18"/>
              </w:rPr>
            </w:pPr>
          </w:p>
        </w:tc>
        <w:tc>
          <w:tcPr>
            <w:tcW w:w="591" w:type="dxa"/>
            <w:vMerge w:val="continue"/>
            <w:vAlign w:val="center"/>
          </w:tcPr>
          <w:p w14:paraId="7678A837">
            <w:pPr>
              <w:spacing w:line="300" w:lineRule="exact"/>
              <w:jc w:val="center"/>
              <w:rPr>
                <w:rFonts w:ascii="宋体" w:hAnsi="宋体" w:cs="宋体"/>
                <w:sz w:val="18"/>
                <w:szCs w:val="18"/>
              </w:rPr>
            </w:pPr>
          </w:p>
        </w:tc>
        <w:tc>
          <w:tcPr>
            <w:tcW w:w="1110" w:type="dxa"/>
            <w:vMerge w:val="continue"/>
            <w:vAlign w:val="center"/>
          </w:tcPr>
          <w:p w14:paraId="6A9EDE0A">
            <w:pPr>
              <w:spacing w:line="300" w:lineRule="exact"/>
              <w:jc w:val="center"/>
              <w:rPr>
                <w:rFonts w:ascii="宋体" w:hAnsi="宋体" w:cs="宋体"/>
                <w:sz w:val="18"/>
                <w:szCs w:val="18"/>
              </w:rPr>
            </w:pPr>
          </w:p>
        </w:tc>
        <w:tc>
          <w:tcPr>
            <w:tcW w:w="10915" w:type="dxa"/>
            <w:vAlign w:val="center"/>
          </w:tcPr>
          <w:p w14:paraId="7FECBA65">
            <w:pPr>
              <w:spacing w:line="300" w:lineRule="exact"/>
              <w:rPr>
                <w:rFonts w:ascii="宋体" w:hAnsi="宋体" w:cs="宋体"/>
                <w:sz w:val="18"/>
                <w:szCs w:val="18"/>
              </w:rPr>
            </w:pPr>
            <w:r>
              <w:rPr>
                <w:rFonts w:ascii="宋体" w:hAnsi="宋体" w:cs="宋体"/>
                <w:kern w:val="0"/>
                <w:sz w:val="18"/>
                <w:szCs w:val="18"/>
              </w:rPr>
              <w:t>7</w:t>
            </w:r>
            <w:r>
              <w:rPr>
                <w:rFonts w:hint="eastAsia" w:ascii="宋体" w:hAnsi="宋体" w:cs="宋体"/>
                <w:kern w:val="0"/>
                <w:sz w:val="18"/>
                <w:szCs w:val="18"/>
              </w:rPr>
              <w:t>.应</w:t>
            </w:r>
            <w:r>
              <w:rPr>
                <w:rFonts w:hint="eastAsia"/>
                <w:sz w:val="18"/>
                <w:szCs w:val="18"/>
              </w:rPr>
              <w:t>针对决策层、管理层和</w:t>
            </w:r>
            <w:r>
              <w:rPr>
                <w:sz w:val="18"/>
                <w:szCs w:val="18"/>
              </w:rPr>
              <w:t>执行层</w:t>
            </w:r>
            <w:r>
              <w:rPr>
                <w:rFonts w:hint="eastAsia"/>
                <w:sz w:val="18"/>
                <w:szCs w:val="18"/>
              </w:rPr>
              <w:t>的不同特点分级细化企业安全理念，全体员工对本企业的安全理念具有较高的知晓率和认可度，安全意识明显提升，安全态度积极向上，各层级人员应在日常工作中恪守安全理念。</w:t>
            </w:r>
          </w:p>
        </w:tc>
        <w:tc>
          <w:tcPr>
            <w:tcW w:w="708" w:type="dxa"/>
            <w:vAlign w:val="center"/>
          </w:tcPr>
          <w:p w14:paraId="43A6A60C">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709" w:type="dxa"/>
          </w:tcPr>
          <w:p w14:paraId="221FB49A">
            <w:pPr>
              <w:spacing w:line="300" w:lineRule="exact"/>
              <w:rPr>
                <w:rFonts w:ascii="宋体" w:hAnsi="宋体" w:cs="宋体"/>
                <w:sz w:val="18"/>
                <w:szCs w:val="18"/>
              </w:rPr>
            </w:pPr>
          </w:p>
        </w:tc>
      </w:tr>
      <w:tr w14:paraId="7F4FA4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13B2465F">
            <w:pPr>
              <w:spacing w:line="300" w:lineRule="exact"/>
              <w:jc w:val="center"/>
              <w:rPr>
                <w:rFonts w:ascii="宋体" w:hAnsi="宋体" w:cs="宋体"/>
                <w:sz w:val="18"/>
                <w:szCs w:val="18"/>
              </w:rPr>
            </w:pPr>
            <w:r>
              <w:rPr>
                <w:rFonts w:hint="eastAsia" w:ascii="宋体" w:hAnsi="宋体" w:cs="宋体"/>
                <w:sz w:val="18"/>
                <w:szCs w:val="18"/>
              </w:rPr>
              <w:t>4</w:t>
            </w:r>
          </w:p>
        </w:tc>
        <w:tc>
          <w:tcPr>
            <w:tcW w:w="591" w:type="dxa"/>
            <w:vMerge w:val="restart"/>
            <w:vAlign w:val="center"/>
          </w:tcPr>
          <w:p w14:paraId="51C45611">
            <w:pPr>
              <w:spacing w:line="300" w:lineRule="exact"/>
              <w:jc w:val="center"/>
              <w:rPr>
                <w:rFonts w:ascii="宋体" w:hAnsi="宋体" w:cs="宋体"/>
                <w:bCs/>
                <w:kern w:val="0"/>
                <w:sz w:val="18"/>
                <w:szCs w:val="18"/>
              </w:rPr>
            </w:pPr>
            <w:r>
              <w:rPr>
                <w:rFonts w:hint="eastAsia" w:ascii="宋体" w:hAnsi="宋体" w:cs="宋体"/>
                <w:bCs/>
                <w:kern w:val="0"/>
                <w:sz w:val="18"/>
                <w:szCs w:val="18"/>
              </w:rPr>
              <w:t>Ⅱ类</w:t>
            </w:r>
          </w:p>
        </w:tc>
        <w:tc>
          <w:tcPr>
            <w:tcW w:w="1110" w:type="dxa"/>
            <w:vMerge w:val="restart"/>
            <w:vAlign w:val="center"/>
          </w:tcPr>
          <w:p w14:paraId="7DF06EDC">
            <w:pPr>
              <w:spacing w:line="300" w:lineRule="exact"/>
              <w:jc w:val="center"/>
              <w:rPr>
                <w:rFonts w:ascii="宋体" w:hAnsi="宋体" w:cs="宋体"/>
                <w:bCs/>
                <w:kern w:val="0"/>
                <w:sz w:val="18"/>
                <w:szCs w:val="18"/>
              </w:rPr>
            </w:pPr>
            <w:r>
              <w:rPr>
                <w:rFonts w:hint="eastAsia" w:ascii="宋体" w:hAnsi="宋体" w:cs="宋体"/>
                <w:bCs/>
                <w:kern w:val="0"/>
                <w:sz w:val="18"/>
                <w:szCs w:val="18"/>
              </w:rPr>
              <w:t>安全制度文化</w:t>
            </w:r>
          </w:p>
          <w:p w14:paraId="2B55D86F">
            <w:pPr>
              <w:spacing w:line="300" w:lineRule="exact"/>
              <w:rPr>
                <w:rFonts w:ascii="宋体" w:hAnsi="宋体" w:cs="宋体"/>
                <w:bCs/>
                <w:kern w:val="0"/>
                <w:sz w:val="18"/>
                <w:szCs w:val="18"/>
              </w:rPr>
            </w:pPr>
            <w:r>
              <w:rPr>
                <w:rFonts w:hint="eastAsia" w:ascii="宋体" w:hAnsi="宋体" w:cs="宋体"/>
                <w:bCs/>
                <w:kern w:val="0"/>
                <w:sz w:val="18"/>
                <w:szCs w:val="18"/>
              </w:rPr>
              <w:t>（</w:t>
            </w:r>
            <w:r>
              <w:rPr>
                <w:rFonts w:ascii="宋体" w:hAnsi="宋体" w:cs="宋体"/>
                <w:bCs/>
                <w:kern w:val="0"/>
                <w:sz w:val="18"/>
                <w:szCs w:val="18"/>
              </w:rPr>
              <w:t>12.5</w:t>
            </w:r>
            <w:r>
              <w:rPr>
                <w:rFonts w:hint="eastAsia" w:ascii="宋体" w:hAnsi="宋体" w:cs="宋体"/>
                <w:bCs/>
                <w:kern w:val="0"/>
                <w:sz w:val="18"/>
                <w:szCs w:val="18"/>
              </w:rPr>
              <w:t>分）</w:t>
            </w:r>
          </w:p>
        </w:tc>
        <w:tc>
          <w:tcPr>
            <w:tcW w:w="10915" w:type="dxa"/>
            <w:vAlign w:val="center"/>
          </w:tcPr>
          <w:p w14:paraId="3031310C">
            <w:pPr>
              <w:spacing w:line="300" w:lineRule="exact"/>
              <w:rPr>
                <w:rFonts w:ascii="宋体" w:hAnsi="宋体" w:cs="宋体"/>
                <w:sz w:val="18"/>
                <w:szCs w:val="18"/>
              </w:rPr>
            </w:pPr>
            <w:r>
              <w:rPr>
                <w:rFonts w:ascii="宋体" w:hAnsi="宋体" w:cs="宋体"/>
                <w:kern w:val="0"/>
                <w:sz w:val="18"/>
                <w:szCs w:val="18"/>
              </w:rPr>
              <w:t>8</w:t>
            </w:r>
            <w:r>
              <w:rPr>
                <w:rFonts w:hint="eastAsia" w:ascii="宋体" w:hAnsi="宋体" w:cs="宋体"/>
                <w:kern w:val="0"/>
                <w:sz w:val="18"/>
                <w:szCs w:val="18"/>
              </w:rPr>
              <w:t>.</w:t>
            </w:r>
            <w:r>
              <w:rPr>
                <w:rFonts w:hint="eastAsia" w:ascii="宋体" w:hAnsi="宋体"/>
                <w:sz w:val="18"/>
                <w:szCs w:val="18"/>
              </w:rPr>
              <w:t>应建立健全科学全面的安全生产管理制度、安全操作规程及生产安全事故应急救援预案，</w:t>
            </w:r>
            <w:r>
              <w:rPr>
                <w:rFonts w:ascii="宋体" w:hAnsi="宋体"/>
                <w:sz w:val="18"/>
                <w:szCs w:val="18"/>
              </w:rPr>
              <w:t>以核心安全理念为引领，构建完善的安全制度体系</w:t>
            </w:r>
            <w:r>
              <w:rPr>
                <w:rFonts w:hint="eastAsia" w:ascii="宋体" w:hAnsi="宋体"/>
                <w:sz w:val="18"/>
                <w:szCs w:val="18"/>
              </w:rPr>
              <w:t>。</w:t>
            </w:r>
          </w:p>
        </w:tc>
        <w:tc>
          <w:tcPr>
            <w:tcW w:w="708" w:type="dxa"/>
            <w:vAlign w:val="center"/>
          </w:tcPr>
          <w:p w14:paraId="7511DD77">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709" w:type="dxa"/>
          </w:tcPr>
          <w:p w14:paraId="4AAC59F3">
            <w:pPr>
              <w:spacing w:line="300" w:lineRule="exact"/>
              <w:rPr>
                <w:rFonts w:ascii="宋体" w:hAnsi="宋体" w:cs="宋体"/>
                <w:sz w:val="18"/>
                <w:szCs w:val="18"/>
              </w:rPr>
            </w:pPr>
          </w:p>
        </w:tc>
      </w:tr>
      <w:tr w14:paraId="1276B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75" w:type="dxa"/>
            <w:vMerge w:val="continue"/>
            <w:vAlign w:val="center"/>
          </w:tcPr>
          <w:p w14:paraId="0E361387">
            <w:pPr>
              <w:spacing w:line="300" w:lineRule="exact"/>
              <w:jc w:val="center"/>
              <w:rPr>
                <w:rFonts w:ascii="宋体" w:hAnsi="宋体" w:cs="宋体"/>
                <w:sz w:val="18"/>
                <w:szCs w:val="18"/>
              </w:rPr>
            </w:pPr>
          </w:p>
        </w:tc>
        <w:tc>
          <w:tcPr>
            <w:tcW w:w="591" w:type="dxa"/>
            <w:vMerge w:val="continue"/>
          </w:tcPr>
          <w:p w14:paraId="6657A93E">
            <w:pPr>
              <w:spacing w:line="300" w:lineRule="exact"/>
              <w:jc w:val="center"/>
              <w:rPr>
                <w:rFonts w:ascii="宋体" w:hAnsi="宋体" w:cs="宋体"/>
                <w:sz w:val="18"/>
                <w:szCs w:val="18"/>
              </w:rPr>
            </w:pPr>
          </w:p>
        </w:tc>
        <w:tc>
          <w:tcPr>
            <w:tcW w:w="1110" w:type="dxa"/>
            <w:vMerge w:val="continue"/>
            <w:vAlign w:val="center"/>
          </w:tcPr>
          <w:p w14:paraId="7F6D83E7">
            <w:pPr>
              <w:spacing w:line="300" w:lineRule="exact"/>
              <w:jc w:val="center"/>
              <w:rPr>
                <w:rFonts w:ascii="宋体" w:hAnsi="宋体" w:cs="宋体"/>
                <w:sz w:val="18"/>
                <w:szCs w:val="18"/>
              </w:rPr>
            </w:pPr>
          </w:p>
        </w:tc>
        <w:tc>
          <w:tcPr>
            <w:tcW w:w="10915" w:type="dxa"/>
            <w:vAlign w:val="center"/>
          </w:tcPr>
          <w:p w14:paraId="00BC768F">
            <w:pPr>
              <w:spacing w:line="300" w:lineRule="exact"/>
              <w:rPr>
                <w:rFonts w:ascii="宋体" w:hAnsi="宋体" w:cs="宋体"/>
                <w:sz w:val="18"/>
                <w:szCs w:val="18"/>
              </w:rPr>
            </w:pPr>
            <w:r>
              <w:rPr>
                <w:rFonts w:ascii="宋体" w:hAnsi="宋体"/>
                <w:sz w:val="18"/>
                <w:szCs w:val="18"/>
              </w:rPr>
              <w:t>9</w:t>
            </w:r>
            <w:r>
              <w:rPr>
                <w:rFonts w:hint="eastAsia" w:ascii="宋体" w:hAnsi="宋体"/>
                <w:sz w:val="18"/>
                <w:szCs w:val="18"/>
              </w:rPr>
              <w:t>.应建立完善全员安全生产责任制、教育培训、安全操作规程、安全风险分级管控、隐患排查治理、事故调查管理、应急响应与处置等制度和考核机制，员工参与安全事务、安全行为观察等安全生产管理运行机制，将外包队伍和被派遣劳动者等相关方的安全生产责任纳入本企业统一管理。</w:t>
            </w:r>
          </w:p>
        </w:tc>
        <w:tc>
          <w:tcPr>
            <w:tcW w:w="708" w:type="dxa"/>
            <w:vAlign w:val="center"/>
          </w:tcPr>
          <w:p w14:paraId="5E726C1A">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709" w:type="dxa"/>
          </w:tcPr>
          <w:p w14:paraId="7C5632AB">
            <w:pPr>
              <w:spacing w:line="300" w:lineRule="exact"/>
              <w:rPr>
                <w:rFonts w:ascii="宋体" w:hAnsi="宋体" w:cs="宋体"/>
                <w:sz w:val="18"/>
                <w:szCs w:val="18"/>
              </w:rPr>
            </w:pPr>
          </w:p>
        </w:tc>
      </w:tr>
    </w:tbl>
    <w:p w14:paraId="2369F48A">
      <w:pPr>
        <w:pStyle w:val="20"/>
        <w:numPr>
          <w:ilvl w:val="0"/>
          <w:numId w:val="0"/>
        </w:numPr>
        <w:spacing w:before="0" w:beforeLines="0" w:after="0" w:afterLines="0"/>
      </w:pPr>
      <w:r>
        <w:rPr>
          <w:rFonts w:hint="eastAsia"/>
        </w:rPr>
        <w:t>表A.1  企业安全文化建设与星级评价评评分表</w:t>
      </w:r>
    </w:p>
    <w:p w14:paraId="41D630ED">
      <w:pPr>
        <w:jc w:val="center"/>
        <w:rPr>
          <w:rFonts w:ascii="黑体" w:hAnsi="黑体" w:eastAsia="黑体"/>
        </w:rPr>
      </w:pPr>
      <w:bookmarkStart w:id="13" w:name="OLE_LINK2"/>
      <w:bookmarkStart w:id="14" w:name="OLE_LINK1"/>
    </w:p>
    <w:p w14:paraId="68030912">
      <w:pPr>
        <w:pStyle w:val="20"/>
        <w:numPr>
          <w:ilvl w:val="0"/>
          <w:numId w:val="0"/>
        </w:numPr>
        <w:spacing w:before="0" w:beforeLines="0" w:after="0" w:afterLines="0"/>
      </w:pPr>
      <w:r>
        <w:rPr>
          <w:rFonts w:hint="eastAsia"/>
        </w:rPr>
        <w:t>表A.1  企业安全文化建设与星级评价评分表（续）</w:t>
      </w:r>
    </w:p>
    <w:tbl>
      <w:tblPr>
        <w:tblStyle w:val="14"/>
        <w:tblW w:w="1469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3"/>
        <w:gridCol w:w="706"/>
        <w:gridCol w:w="1051"/>
        <w:gridCol w:w="11003"/>
        <w:gridCol w:w="613"/>
        <w:gridCol w:w="676"/>
      </w:tblGrid>
      <w:tr w14:paraId="1CB78B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B122C7">
            <w:pPr>
              <w:spacing w:line="300" w:lineRule="exact"/>
              <w:jc w:val="center"/>
              <w:rPr>
                <w:rFonts w:ascii="宋体" w:hAnsi="宋体" w:cs="宋体"/>
                <w:sz w:val="18"/>
                <w:szCs w:val="18"/>
              </w:rPr>
            </w:pPr>
            <w:r>
              <w:rPr>
                <w:rFonts w:hint="eastAsia" w:ascii="宋体" w:hAnsi="宋体" w:cs="宋体"/>
                <w:b/>
                <w:kern w:val="0"/>
                <w:sz w:val="18"/>
                <w:szCs w:val="18"/>
              </w:rPr>
              <w:t>序号</w:t>
            </w:r>
          </w:p>
        </w:tc>
        <w:tc>
          <w:tcPr>
            <w:tcW w:w="706" w:type="dxa"/>
            <w:vAlign w:val="center"/>
          </w:tcPr>
          <w:p w14:paraId="3E863E4C">
            <w:pPr>
              <w:spacing w:line="300" w:lineRule="exact"/>
              <w:jc w:val="center"/>
              <w:rPr>
                <w:rFonts w:ascii="宋体" w:hAnsi="宋体" w:cs="宋体"/>
                <w:bCs/>
                <w:kern w:val="0"/>
                <w:sz w:val="18"/>
                <w:szCs w:val="18"/>
              </w:rPr>
            </w:pPr>
            <w:r>
              <w:rPr>
                <w:rFonts w:hint="eastAsia" w:ascii="宋体" w:hAnsi="宋体" w:cs="宋体"/>
                <w:b/>
                <w:kern w:val="0"/>
                <w:sz w:val="18"/>
                <w:szCs w:val="18"/>
              </w:rPr>
              <w:t>指标类别</w:t>
            </w:r>
          </w:p>
        </w:tc>
        <w:tc>
          <w:tcPr>
            <w:tcW w:w="1051" w:type="dxa"/>
            <w:vAlign w:val="center"/>
          </w:tcPr>
          <w:p w14:paraId="6F67C21C">
            <w:pPr>
              <w:spacing w:line="300" w:lineRule="exact"/>
              <w:jc w:val="center"/>
              <w:rPr>
                <w:rFonts w:ascii="宋体" w:hAnsi="宋体" w:cs="宋体"/>
                <w:bCs/>
                <w:sz w:val="18"/>
                <w:szCs w:val="18"/>
              </w:rPr>
            </w:pPr>
            <w:r>
              <w:rPr>
                <w:rFonts w:hint="eastAsia" w:ascii="宋体" w:hAnsi="宋体" w:cs="宋体"/>
                <w:b/>
                <w:kern w:val="0"/>
                <w:sz w:val="18"/>
                <w:szCs w:val="18"/>
              </w:rPr>
              <w:t>一级指标</w:t>
            </w:r>
          </w:p>
        </w:tc>
        <w:tc>
          <w:tcPr>
            <w:tcW w:w="11003" w:type="dxa"/>
            <w:vAlign w:val="center"/>
          </w:tcPr>
          <w:p w14:paraId="08E9E361">
            <w:pPr>
              <w:spacing w:line="300" w:lineRule="exact"/>
              <w:jc w:val="center"/>
              <w:rPr>
                <w:rFonts w:ascii="宋体" w:hAnsi="宋体" w:cs="宋体"/>
                <w:kern w:val="0"/>
                <w:sz w:val="18"/>
                <w:szCs w:val="18"/>
              </w:rPr>
            </w:pPr>
            <w:r>
              <w:rPr>
                <w:rFonts w:hint="eastAsia" w:ascii="宋体" w:hAnsi="宋体" w:cs="宋体"/>
                <w:b/>
                <w:kern w:val="0"/>
                <w:sz w:val="18"/>
                <w:szCs w:val="18"/>
              </w:rPr>
              <w:t>二级指标</w:t>
            </w:r>
          </w:p>
        </w:tc>
        <w:tc>
          <w:tcPr>
            <w:tcW w:w="613" w:type="dxa"/>
            <w:vAlign w:val="center"/>
          </w:tcPr>
          <w:p w14:paraId="1DB64FF1">
            <w:pPr>
              <w:spacing w:line="300" w:lineRule="exact"/>
              <w:jc w:val="center"/>
              <w:rPr>
                <w:rFonts w:ascii="宋体" w:hAnsi="宋体" w:cs="宋体"/>
                <w:sz w:val="18"/>
                <w:szCs w:val="18"/>
              </w:rPr>
            </w:pPr>
            <w:r>
              <w:rPr>
                <w:rFonts w:hint="eastAsia" w:ascii="宋体" w:hAnsi="宋体" w:cs="宋体"/>
                <w:b/>
                <w:kern w:val="0"/>
                <w:sz w:val="18"/>
                <w:szCs w:val="18"/>
              </w:rPr>
              <w:t>满分分值</w:t>
            </w:r>
          </w:p>
        </w:tc>
        <w:tc>
          <w:tcPr>
            <w:tcW w:w="676" w:type="dxa"/>
            <w:vAlign w:val="center"/>
          </w:tcPr>
          <w:p w14:paraId="406A4CA7">
            <w:pPr>
              <w:spacing w:line="300" w:lineRule="exact"/>
              <w:jc w:val="center"/>
              <w:rPr>
                <w:rFonts w:ascii="宋体" w:hAnsi="宋体" w:cs="宋体"/>
                <w:sz w:val="18"/>
                <w:szCs w:val="18"/>
              </w:rPr>
            </w:pPr>
            <w:r>
              <w:rPr>
                <w:rFonts w:hint="eastAsia" w:ascii="宋体" w:hAnsi="宋体" w:cs="宋体"/>
                <w:b/>
                <w:kern w:val="0"/>
                <w:sz w:val="18"/>
                <w:szCs w:val="18"/>
              </w:rPr>
              <w:t>评价分值</w:t>
            </w:r>
          </w:p>
        </w:tc>
      </w:tr>
      <w:tr w14:paraId="1AD0E6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43" w:type="dxa"/>
            <w:vMerge w:val="restart"/>
            <w:vAlign w:val="center"/>
          </w:tcPr>
          <w:p w14:paraId="603BAB1B">
            <w:pPr>
              <w:spacing w:line="300" w:lineRule="exact"/>
              <w:jc w:val="center"/>
              <w:rPr>
                <w:rFonts w:ascii="宋体" w:hAnsi="宋体" w:cs="宋体"/>
                <w:sz w:val="18"/>
                <w:szCs w:val="18"/>
              </w:rPr>
            </w:pPr>
            <w:r>
              <w:rPr>
                <w:rFonts w:hint="eastAsia" w:ascii="宋体" w:hAnsi="宋体" w:cs="宋体"/>
                <w:sz w:val="18"/>
                <w:szCs w:val="18"/>
              </w:rPr>
              <w:t>4</w:t>
            </w:r>
          </w:p>
        </w:tc>
        <w:tc>
          <w:tcPr>
            <w:tcW w:w="706" w:type="dxa"/>
            <w:vMerge w:val="restart"/>
            <w:vAlign w:val="center"/>
          </w:tcPr>
          <w:p w14:paraId="577F37AE">
            <w:pPr>
              <w:spacing w:line="300" w:lineRule="exact"/>
              <w:jc w:val="center"/>
              <w:rPr>
                <w:rFonts w:ascii="宋体" w:hAnsi="宋体" w:cs="宋体"/>
                <w:bCs/>
                <w:kern w:val="0"/>
                <w:sz w:val="18"/>
                <w:szCs w:val="18"/>
              </w:rPr>
            </w:pPr>
            <w:r>
              <w:rPr>
                <w:rFonts w:hint="eastAsia" w:ascii="宋体" w:hAnsi="宋体" w:cs="宋体"/>
                <w:bCs/>
                <w:kern w:val="0"/>
                <w:sz w:val="18"/>
                <w:szCs w:val="18"/>
              </w:rPr>
              <w:t>Ⅱ类</w:t>
            </w:r>
          </w:p>
        </w:tc>
        <w:tc>
          <w:tcPr>
            <w:tcW w:w="1051" w:type="dxa"/>
            <w:vMerge w:val="restart"/>
            <w:vAlign w:val="center"/>
          </w:tcPr>
          <w:p w14:paraId="5DB7A0D8">
            <w:pPr>
              <w:spacing w:line="300" w:lineRule="exact"/>
              <w:rPr>
                <w:rFonts w:ascii="宋体" w:hAnsi="宋体" w:cs="宋体"/>
                <w:bCs/>
                <w:kern w:val="0"/>
                <w:sz w:val="18"/>
                <w:szCs w:val="18"/>
              </w:rPr>
            </w:pPr>
          </w:p>
        </w:tc>
        <w:tc>
          <w:tcPr>
            <w:tcW w:w="11003" w:type="dxa"/>
            <w:vAlign w:val="center"/>
          </w:tcPr>
          <w:p w14:paraId="63AB843A">
            <w:pPr>
              <w:pStyle w:val="23"/>
              <w:numPr>
                <w:ilvl w:val="0"/>
                <w:numId w:val="0"/>
              </w:numPr>
              <w:rPr>
                <w:rFonts w:hAnsi="宋体"/>
                <w:sz w:val="18"/>
                <w:szCs w:val="18"/>
              </w:rPr>
            </w:pPr>
            <w:r>
              <w:rPr>
                <w:rFonts w:hAnsi="宋体" w:cs="宋体"/>
                <w:sz w:val="18"/>
                <w:szCs w:val="18"/>
              </w:rPr>
              <w:t>10</w:t>
            </w:r>
            <w:r>
              <w:rPr>
                <w:rFonts w:hint="eastAsia" w:hAnsi="宋体" w:cs="宋体"/>
                <w:sz w:val="18"/>
                <w:szCs w:val="18"/>
              </w:rPr>
              <w:t>.</w:t>
            </w:r>
            <w:r>
              <w:rPr>
                <w:rFonts w:hint="eastAsia" w:hAnsi="宋体"/>
                <w:sz w:val="18"/>
                <w:szCs w:val="18"/>
              </w:rPr>
              <w:t>应对安全生产与应急管理规章制度持续改进，注重规章制度中的流程设计和规章制度之间的协调关系</w:t>
            </w:r>
            <w:r>
              <w:rPr>
                <w:rFonts w:hint="eastAsia" w:hAnsi="宋体" w:cs="宋体"/>
                <w:sz w:val="18"/>
                <w:szCs w:val="18"/>
              </w:rPr>
              <w:t>，并组织有效实施，</w:t>
            </w:r>
            <w:r>
              <w:rPr>
                <w:rFonts w:hAnsi="宋体"/>
                <w:sz w:val="18"/>
                <w:szCs w:val="18"/>
              </w:rPr>
              <w:t>推进安全制度执行的流程化、信息化、智能化</w:t>
            </w:r>
            <w:r>
              <w:rPr>
                <w:rFonts w:hint="eastAsia" w:hAnsi="宋体"/>
                <w:sz w:val="18"/>
                <w:szCs w:val="18"/>
              </w:rPr>
              <w:t>。</w:t>
            </w:r>
          </w:p>
        </w:tc>
        <w:tc>
          <w:tcPr>
            <w:tcW w:w="613" w:type="dxa"/>
            <w:vAlign w:val="center"/>
          </w:tcPr>
          <w:p w14:paraId="491298F2">
            <w:pPr>
              <w:spacing w:line="300" w:lineRule="exact"/>
              <w:jc w:val="center"/>
              <w:rPr>
                <w:rFonts w:ascii="宋体" w:hAnsi="宋体" w:cs="宋体"/>
                <w:kern w:val="0"/>
                <w:sz w:val="18"/>
                <w:szCs w:val="18"/>
              </w:rPr>
            </w:pPr>
            <w:r>
              <w:rPr>
                <w:rFonts w:ascii="宋体" w:hAnsi="宋体" w:cs="宋体"/>
                <w:kern w:val="0"/>
                <w:sz w:val="18"/>
                <w:szCs w:val="18"/>
              </w:rPr>
              <w:t>2.</w:t>
            </w:r>
            <w:r>
              <w:rPr>
                <w:rFonts w:hint="eastAsia" w:ascii="宋体" w:hAnsi="宋体" w:cs="宋体"/>
                <w:kern w:val="0"/>
                <w:sz w:val="18"/>
                <w:szCs w:val="18"/>
              </w:rPr>
              <w:t>5</w:t>
            </w:r>
          </w:p>
        </w:tc>
        <w:tc>
          <w:tcPr>
            <w:tcW w:w="676" w:type="dxa"/>
          </w:tcPr>
          <w:p w14:paraId="25E24D71">
            <w:pPr>
              <w:spacing w:line="300" w:lineRule="exact"/>
              <w:rPr>
                <w:rFonts w:ascii="宋体" w:hAnsi="宋体" w:cs="宋体"/>
                <w:sz w:val="18"/>
                <w:szCs w:val="18"/>
              </w:rPr>
            </w:pPr>
          </w:p>
        </w:tc>
      </w:tr>
      <w:tr w14:paraId="0ACA7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43" w:type="dxa"/>
            <w:vMerge w:val="continue"/>
            <w:vAlign w:val="center"/>
          </w:tcPr>
          <w:p w14:paraId="79BAD91A">
            <w:pPr>
              <w:spacing w:line="300" w:lineRule="exact"/>
              <w:jc w:val="center"/>
              <w:rPr>
                <w:rFonts w:ascii="宋体" w:hAnsi="宋体" w:cs="宋体"/>
                <w:sz w:val="18"/>
                <w:szCs w:val="18"/>
              </w:rPr>
            </w:pPr>
          </w:p>
        </w:tc>
        <w:tc>
          <w:tcPr>
            <w:tcW w:w="706" w:type="dxa"/>
            <w:vMerge w:val="continue"/>
          </w:tcPr>
          <w:p w14:paraId="51E59D3C">
            <w:pPr>
              <w:spacing w:line="300" w:lineRule="exact"/>
              <w:jc w:val="center"/>
              <w:rPr>
                <w:rFonts w:ascii="宋体" w:hAnsi="宋体" w:cs="宋体"/>
                <w:bCs/>
                <w:kern w:val="0"/>
                <w:sz w:val="18"/>
                <w:szCs w:val="18"/>
              </w:rPr>
            </w:pPr>
          </w:p>
        </w:tc>
        <w:tc>
          <w:tcPr>
            <w:tcW w:w="1051" w:type="dxa"/>
            <w:vMerge w:val="continue"/>
            <w:vAlign w:val="center"/>
          </w:tcPr>
          <w:p w14:paraId="1BB0FE92">
            <w:pPr>
              <w:spacing w:line="300" w:lineRule="exact"/>
              <w:jc w:val="center"/>
              <w:rPr>
                <w:rFonts w:ascii="宋体" w:hAnsi="宋体" w:cs="宋体"/>
                <w:bCs/>
                <w:sz w:val="18"/>
                <w:szCs w:val="18"/>
              </w:rPr>
            </w:pPr>
          </w:p>
        </w:tc>
        <w:tc>
          <w:tcPr>
            <w:tcW w:w="11003" w:type="dxa"/>
            <w:vAlign w:val="center"/>
          </w:tcPr>
          <w:p w14:paraId="08DD95A7">
            <w:pPr>
              <w:spacing w:line="300" w:lineRule="exact"/>
              <w:rPr>
                <w:rFonts w:ascii="宋体" w:hAnsi="宋体" w:cs="宋体"/>
                <w:kern w:val="0"/>
                <w:sz w:val="18"/>
                <w:szCs w:val="18"/>
              </w:rPr>
            </w:pPr>
            <w:r>
              <w:rPr>
                <w:rFonts w:ascii="宋体" w:hAnsi="宋体" w:cs="宋体"/>
                <w:kern w:val="0"/>
                <w:sz w:val="18"/>
                <w:szCs w:val="18"/>
              </w:rPr>
              <w:t>11.</w:t>
            </w:r>
            <w:r>
              <w:rPr>
                <w:rFonts w:hint="eastAsia" w:ascii="宋体" w:hAnsi="宋体"/>
                <w:sz w:val="18"/>
                <w:szCs w:val="18"/>
              </w:rPr>
              <w:t>应定期对企业安全管理制度体系的合规</w:t>
            </w:r>
            <w:r>
              <w:rPr>
                <w:rFonts w:ascii="宋体" w:hAnsi="宋体"/>
                <w:sz w:val="18"/>
                <w:szCs w:val="18"/>
              </w:rPr>
              <w:t>性、适宜性、有效性、协调性</w:t>
            </w:r>
            <w:r>
              <w:rPr>
                <w:rFonts w:hint="eastAsia" w:ascii="宋体" w:hAnsi="宋体"/>
                <w:sz w:val="18"/>
                <w:szCs w:val="18"/>
              </w:rPr>
              <w:t>、履行情况进行评估和修订完善，保证制度执行效力。</w:t>
            </w:r>
          </w:p>
        </w:tc>
        <w:tc>
          <w:tcPr>
            <w:tcW w:w="613" w:type="dxa"/>
            <w:vAlign w:val="center"/>
          </w:tcPr>
          <w:p w14:paraId="030E77D3">
            <w:pPr>
              <w:spacing w:line="300" w:lineRule="exact"/>
              <w:jc w:val="center"/>
              <w:rPr>
                <w:rFonts w:ascii="宋体" w:hAnsi="宋体" w:cs="宋体"/>
                <w:kern w:val="0"/>
                <w:sz w:val="18"/>
                <w:szCs w:val="18"/>
              </w:rPr>
            </w:pPr>
            <w:r>
              <w:rPr>
                <w:rFonts w:ascii="宋体" w:hAnsi="宋体" w:cs="宋体"/>
                <w:kern w:val="0"/>
                <w:sz w:val="18"/>
                <w:szCs w:val="18"/>
              </w:rPr>
              <w:t>2.</w:t>
            </w:r>
            <w:r>
              <w:rPr>
                <w:rFonts w:hint="eastAsia" w:ascii="宋体" w:hAnsi="宋体" w:cs="宋体"/>
                <w:kern w:val="0"/>
                <w:sz w:val="18"/>
                <w:szCs w:val="18"/>
              </w:rPr>
              <w:t>5</w:t>
            </w:r>
          </w:p>
        </w:tc>
        <w:tc>
          <w:tcPr>
            <w:tcW w:w="676" w:type="dxa"/>
          </w:tcPr>
          <w:p w14:paraId="6537E624">
            <w:pPr>
              <w:spacing w:line="300" w:lineRule="exact"/>
              <w:rPr>
                <w:rFonts w:ascii="宋体" w:hAnsi="宋体" w:cs="宋体"/>
                <w:sz w:val="18"/>
                <w:szCs w:val="18"/>
              </w:rPr>
            </w:pPr>
          </w:p>
        </w:tc>
      </w:tr>
      <w:tr w14:paraId="1FFABE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43" w:type="dxa"/>
            <w:vMerge w:val="continue"/>
            <w:vAlign w:val="center"/>
          </w:tcPr>
          <w:p w14:paraId="2873E99F">
            <w:pPr>
              <w:spacing w:line="300" w:lineRule="exact"/>
              <w:jc w:val="center"/>
              <w:rPr>
                <w:rFonts w:ascii="宋体" w:hAnsi="宋体" w:cs="宋体"/>
                <w:sz w:val="18"/>
                <w:szCs w:val="18"/>
              </w:rPr>
            </w:pPr>
          </w:p>
        </w:tc>
        <w:tc>
          <w:tcPr>
            <w:tcW w:w="706" w:type="dxa"/>
            <w:vMerge w:val="continue"/>
            <w:vAlign w:val="center"/>
          </w:tcPr>
          <w:p w14:paraId="4D7777BD">
            <w:pPr>
              <w:spacing w:line="300" w:lineRule="exact"/>
              <w:jc w:val="center"/>
              <w:rPr>
                <w:rFonts w:ascii="宋体" w:hAnsi="宋体" w:cs="宋体"/>
                <w:bCs/>
                <w:kern w:val="0"/>
                <w:sz w:val="18"/>
                <w:szCs w:val="18"/>
              </w:rPr>
            </w:pPr>
          </w:p>
        </w:tc>
        <w:tc>
          <w:tcPr>
            <w:tcW w:w="1051" w:type="dxa"/>
            <w:vMerge w:val="continue"/>
            <w:vAlign w:val="center"/>
          </w:tcPr>
          <w:p w14:paraId="4B9BD943">
            <w:pPr>
              <w:spacing w:line="300" w:lineRule="exact"/>
              <w:jc w:val="center"/>
              <w:rPr>
                <w:rFonts w:ascii="宋体" w:hAnsi="宋体" w:cs="宋体"/>
                <w:bCs/>
                <w:sz w:val="18"/>
                <w:szCs w:val="18"/>
              </w:rPr>
            </w:pPr>
          </w:p>
        </w:tc>
        <w:tc>
          <w:tcPr>
            <w:tcW w:w="11003" w:type="dxa"/>
            <w:vAlign w:val="center"/>
          </w:tcPr>
          <w:p w14:paraId="489B30B9">
            <w:pPr>
              <w:pStyle w:val="23"/>
              <w:numPr>
                <w:ilvl w:val="0"/>
                <w:numId w:val="0"/>
              </w:numPr>
              <w:rPr>
                <w:rFonts w:hAnsi="宋体"/>
                <w:sz w:val="18"/>
                <w:szCs w:val="18"/>
              </w:rPr>
            </w:pPr>
            <w:r>
              <w:rPr>
                <w:rFonts w:hint="eastAsia" w:hAnsi="宋体" w:cs="宋体"/>
                <w:sz w:val="18"/>
                <w:szCs w:val="18"/>
              </w:rPr>
              <w:t>1</w:t>
            </w:r>
            <w:r>
              <w:rPr>
                <w:rFonts w:hAnsi="宋体" w:cs="宋体"/>
                <w:sz w:val="18"/>
                <w:szCs w:val="18"/>
              </w:rPr>
              <w:t>2</w:t>
            </w:r>
            <w:r>
              <w:rPr>
                <w:rFonts w:hint="eastAsia" w:hAnsi="宋体" w:cs="宋体"/>
                <w:sz w:val="18"/>
                <w:szCs w:val="18"/>
              </w:rPr>
              <w:t>.</w:t>
            </w:r>
            <w:r>
              <w:rPr>
                <w:rFonts w:hint="eastAsia" w:hAnsi="宋体"/>
                <w:sz w:val="18"/>
                <w:szCs w:val="18"/>
              </w:rPr>
              <w:t>安全生产与应急管理等相关制度在修订过程中应有员工</w:t>
            </w:r>
            <w:r>
              <w:rPr>
                <w:rFonts w:hint="eastAsia" w:hAnsi="宋体" w:cs="宋体"/>
                <w:sz w:val="18"/>
                <w:szCs w:val="18"/>
              </w:rPr>
              <w:t>代表、工会或职代会代表</w:t>
            </w:r>
            <w:r>
              <w:rPr>
                <w:rFonts w:hint="eastAsia" w:hAnsi="宋体"/>
                <w:sz w:val="18"/>
                <w:szCs w:val="18"/>
              </w:rPr>
              <w:t>参与，应</w:t>
            </w:r>
            <w:r>
              <w:rPr>
                <w:rFonts w:hAnsi="宋体"/>
                <w:sz w:val="18"/>
                <w:szCs w:val="18"/>
              </w:rPr>
              <w:t>建立并完善员工全程参与制定安全制度的机制，应将安全制度分解、简化为各岗位人员的“保命守则”</w:t>
            </w:r>
            <w:r>
              <w:rPr>
                <w:rFonts w:hint="eastAsia" w:hAnsi="宋体"/>
                <w:sz w:val="18"/>
                <w:szCs w:val="18"/>
              </w:rPr>
              <w:t>。</w:t>
            </w:r>
          </w:p>
        </w:tc>
        <w:tc>
          <w:tcPr>
            <w:tcW w:w="613" w:type="dxa"/>
            <w:vAlign w:val="center"/>
          </w:tcPr>
          <w:p w14:paraId="25970065">
            <w:pPr>
              <w:spacing w:line="300" w:lineRule="exact"/>
              <w:jc w:val="center"/>
              <w:rPr>
                <w:rFonts w:ascii="宋体" w:hAnsi="宋体" w:cs="宋体"/>
                <w:kern w:val="0"/>
                <w:sz w:val="18"/>
                <w:szCs w:val="18"/>
              </w:rPr>
            </w:pPr>
            <w:r>
              <w:rPr>
                <w:rFonts w:ascii="宋体" w:hAnsi="宋体" w:cs="宋体"/>
                <w:kern w:val="0"/>
                <w:sz w:val="18"/>
                <w:szCs w:val="18"/>
              </w:rPr>
              <w:t>2.</w:t>
            </w:r>
            <w:r>
              <w:rPr>
                <w:rFonts w:hint="eastAsia" w:ascii="宋体" w:hAnsi="宋体" w:cs="宋体"/>
                <w:kern w:val="0"/>
                <w:sz w:val="18"/>
                <w:szCs w:val="18"/>
              </w:rPr>
              <w:t>5</w:t>
            </w:r>
          </w:p>
        </w:tc>
        <w:tc>
          <w:tcPr>
            <w:tcW w:w="676" w:type="dxa"/>
          </w:tcPr>
          <w:p w14:paraId="2919DE76">
            <w:pPr>
              <w:spacing w:line="300" w:lineRule="exact"/>
              <w:rPr>
                <w:rFonts w:ascii="宋体" w:hAnsi="宋体" w:cs="宋体"/>
                <w:sz w:val="18"/>
                <w:szCs w:val="18"/>
              </w:rPr>
            </w:pPr>
          </w:p>
        </w:tc>
      </w:tr>
      <w:tr w14:paraId="582BA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43" w:type="dxa"/>
            <w:vMerge w:val="restart"/>
            <w:vAlign w:val="center"/>
          </w:tcPr>
          <w:p w14:paraId="5F3F08C5">
            <w:pPr>
              <w:spacing w:line="300" w:lineRule="exact"/>
              <w:jc w:val="center"/>
              <w:rPr>
                <w:rFonts w:ascii="宋体" w:hAnsi="宋体" w:cs="宋体"/>
                <w:sz w:val="18"/>
                <w:szCs w:val="18"/>
              </w:rPr>
            </w:pPr>
            <w:r>
              <w:rPr>
                <w:rFonts w:hint="eastAsia" w:ascii="宋体" w:hAnsi="宋体" w:cs="宋体"/>
                <w:sz w:val="18"/>
                <w:szCs w:val="18"/>
              </w:rPr>
              <w:t>5</w:t>
            </w:r>
          </w:p>
        </w:tc>
        <w:tc>
          <w:tcPr>
            <w:tcW w:w="706" w:type="dxa"/>
            <w:vMerge w:val="restart"/>
            <w:vAlign w:val="center"/>
          </w:tcPr>
          <w:p w14:paraId="1F834C8E">
            <w:pPr>
              <w:spacing w:line="300" w:lineRule="exact"/>
              <w:jc w:val="center"/>
              <w:rPr>
                <w:rFonts w:ascii="宋体" w:hAnsi="宋体" w:cs="宋体"/>
                <w:bCs/>
                <w:sz w:val="18"/>
                <w:szCs w:val="18"/>
              </w:rPr>
            </w:pPr>
            <w:r>
              <w:rPr>
                <w:rFonts w:hint="eastAsia" w:ascii="宋体" w:hAnsi="宋体" w:cs="宋体"/>
                <w:bCs/>
                <w:kern w:val="0"/>
                <w:sz w:val="18"/>
                <w:szCs w:val="18"/>
              </w:rPr>
              <w:t>Ⅱ类</w:t>
            </w:r>
          </w:p>
        </w:tc>
        <w:tc>
          <w:tcPr>
            <w:tcW w:w="1051" w:type="dxa"/>
            <w:vMerge w:val="restart"/>
            <w:vAlign w:val="center"/>
          </w:tcPr>
          <w:p w14:paraId="34462163">
            <w:pPr>
              <w:spacing w:line="300" w:lineRule="exact"/>
              <w:jc w:val="center"/>
              <w:rPr>
                <w:rFonts w:ascii="宋体" w:hAnsi="宋体" w:cs="宋体"/>
                <w:bCs/>
                <w:sz w:val="18"/>
                <w:szCs w:val="18"/>
              </w:rPr>
            </w:pPr>
            <w:r>
              <w:rPr>
                <w:rFonts w:hint="eastAsia" w:ascii="宋体" w:hAnsi="宋体" w:cs="宋体"/>
                <w:bCs/>
                <w:sz w:val="18"/>
                <w:szCs w:val="18"/>
              </w:rPr>
              <w:t>安全环境文化</w:t>
            </w:r>
          </w:p>
          <w:p w14:paraId="71CB4665">
            <w:pPr>
              <w:spacing w:line="300" w:lineRule="exact"/>
              <w:jc w:val="center"/>
              <w:rPr>
                <w:rFonts w:ascii="宋体" w:hAnsi="宋体" w:cs="宋体"/>
                <w:sz w:val="18"/>
                <w:szCs w:val="18"/>
              </w:rPr>
            </w:pPr>
            <w:r>
              <w:rPr>
                <w:rFonts w:hint="eastAsia" w:ascii="宋体" w:hAnsi="宋体" w:cs="宋体"/>
                <w:bCs/>
                <w:sz w:val="18"/>
                <w:szCs w:val="18"/>
              </w:rPr>
              <w:t>（</w:t>
            </w:r>
            <w:r>
              <w:rPr>
                <w:rFonts w:ascii="宋体" w:hAnsi="宋体" w:cs="宋体"/>
                <w:bCs/>
                <w:sz w:val="18"/>
                <w:szCs w:val="18"/>
              </w:rPr>
              <w:t>25</w:t>
            </w:r>
            <w:r>
              <w:rPr>
                <w:rFonts w:hint="eastAsia" w:ascii="宋体" w:hAnsi="宋体" w:cs="宋体"/>
                <w:bCs/>
                <w:sz w:val="18"/>
                <w:szCs w:val="18"/>
              </w:rPr>
              <w:t>分）</w:t>
            </w:r>
          </w:p>
        </w:tc>
        <w:tc>
          <w:tcPr>
            <w:tcW w:w="11003" w:type="dxa"/>
            <w:vAlign w:val="center"/>
          </w:tcPr>
          <w:p w14:paraId="5651CBE6">
            <w:pPr>
              <w:spacing w:line="300" w:lineRule="exact"/>
              <w:rPr>
                <w:rFonts w:ascii="宋体" w:hAnsi="宋体" w:cs="宋体"/>
                <w:sz w:val="18"/>
                <w:szCs w:val="18"/>
              </w:rPr>
            </w:pPr>
            <w:r>
              <w:rPr>
                <w:rFonts w:hint="eastAsia" w:ascii="宋体" w:hAnsi="宋体" w:cs="宋体"/>
                <w:kern w:val="0"/>
                <w:sz w:val="18"/>
                <w:szCs w:val="18"/>
              </w:rPr>
              <w:t>1</w:t>
            </w:r>
            <w:r>
              <w:rPr>
                <w:rFonts w:ascii="宋体" w:hAnsi="宋体" w:cs="宋体"/>
                <w:kern w:val="0"/>
                <w:sz w:val="18"/>
                <w:szCs w:val="18"/>
              </w:rPr>
              <w:t>3</w:t>
            </w:r>
            <w:r>
              <w:rPr>
                <w:rFonts w:hint="eastAsia" w:ascii="宋体" w:hAnsi="宋体" w:cs="宋体"/>
                <w:kern w:val="0"/>
                <w:sz w:val="18"/>
                <w:szCs w:val="18"/>
              </w:rPr>
              <w:t>.</w:t>
            </w:r>
            <w:r>
              <w:rPr>
                <w:rFonts w:hint="eastAsia" w:ascii="宋体" w:hAnsi="宋体"/>
                <w:sz w:val="18"/>
                <w:szCs w:val="18"/>
              </w:rPr>
              <w:t xml:space="preserve"> 应落实安全风险分级管控与隐患排查治理机制，绘制四色等级安全风险分布图并在现场显著位置进行公示</w:t>
            </w:r>
            <w:r>
              <w:rPr>
                <w:rFonts w:hint="eastAsia" w:ascii="宋体" w:hAnsi="宋体" w:cs="宋体"/>
                <w:sz w:val="18"/>
                <w:szCs w:val="18"/>
              </w:rPr>
              <w:t>或采取其他有效的风险告知方式，</w:t>
            </w:r>
            <w:r>
              <w:rPr>
                <w:rFonts w:ascii="宋体" w:hAnsi="宋体"/>
                <w:sz w:val="18"/>
                <w:szCs w:val="18"/>
              </w:rPr>
              <w:t>做好现场人员、设备和环境的匹配工作，通过人机隔离、安全防护、联锁闭锁保护等手段保证设备设施、工艺系统和作业环境的本质安全</w:t>
            </w:r>
            <w:r>
              <w:rPr>
                <w:rFonts w:hint="eastAsia" w:ascii="宋体" w:hAnsi="宋体"/>
                <w:sz w:val="18"/>
                <w:szCs w:val="18"/>
              </w:rPr>
              <w:t>。</w:t>
            </w:r>
          </w:p>
        </w:tc>
        <w:tc>
          <w:tcPr>
            <w:tcW w:w="613" w:type="dxa"/>
            <w:vAlign w:val="center"/>
          </w:tcPr>
          <w:p w14:paraId="3C103FFB">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76" w:type="dxa"/>
          </w:tcPr>
          <w:p w14:paraId="2EF3C472">
            <w:pPr>
              <w:spacing w:line="300" w:lineRule="exact"/>
              <w:rPr>
                <w:rFonts w:ascii="宋体" w:hAnsi="宋体" w:cs="宋体"/>
                <w:sz w:val="18"/>
                <w:szCs w:val="18"/>
              </w:rPr>
            </w:pPr>
          </w:p>
        </w:tc>
      </w:tr>
      <w:tr w14:paraId="3611D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43" w:type="dxa"/>
            <w:vMerge w:val="continue"/>
            <w:vAlign w:val="center"/>
          </w:tcPr>
          <w:p w14:paraId="102899AD">
            <w:pPr>
              <w:spacing w:line="300" w:lineRule="exact"/>
              <w:jc w:val="center"/>
              <w:rPr>
                <w:rFonts w:ascii="宋体" w:hAnsi="宋体" w:cs="宋体"/>
                <w:sz w:val="18"/>
                <w:szCs w:val="18"/>
              </w:rPr>
            </w:pPr>
          </w:p>
        </w:tc>
        <w:tc>
          <w:tcPr>
            <w:tcW w:w="706" w:type="dxa"/>
            <w:vMerge w:val="continue"/>
            <w:vAlign w:val="center"/>
          </w:tcPr>
          <w:p w14:paraId="2B741B5E">
            <w:pPr>
              <w:spacing w:line="300" w:lineRule="exact"/>
              <w:jc w:val="center"/>
              <w:rPr>
                <w:rFonts w:ascii="宋体" w:hAnsi="宋体" w:cs="宋体"/>
                <w:sz w:val="18"/>
                <w:szCs w:val="18"/>
              </w:rPr>
            </w:pPr>
          </w:p>
        </w:tc>
        <w:tc>
          <w:tcPr>
            <w:tcW w:w="1051" w:type="dxa"/>
            <w:vMerge w:val="continue"/>
            <w:vAlign w:val="center"/>
          </w:tcPr>
          <w:p w14:paraId="31F67807">
            <w:pPr>
              <w:spacing w:line="300" w:lineRule="exact"/>
              <w:jc w:val="center"/>
              <w:rPr>
                <w:rFonts w:ascii="宋体" w:hAnsi="宋体" w:cs="宋体"/>
                <w:sz w:val="18"/>
                <w:szCs w:val="18"/>
              </w:rPr>
            </w:pPr>
          </w:p>
        </w:tc>
        <w:tc>
          <w:tcPr>
            <w:tcW w:w="11003" w:type="dxa"/>
            <w:vAlign w:val="center"/>
          </w:tcPr>
          <w:p w14:paraId="7D07691B">
            <w:pPr>
              <w:pStyle w:val="23"/>
              <w:numPr>
                <w:ilvl w:val="0"/>
                <w:numId w:val="0"/>
              </w:numPr>
              <w:rPr>
                <w:rFonts w:hAnsi="宋体"/>
                <w:sz w:val="18"/>
                <w:szCs w:val="18"/>
              </w:rPr>
            </w:pPr>
            <w:r>
              <w:rPr>
                <w:rFonts w:hint="eastAsia" w:hAnsi="宋体" w:cs="宋体"/>
                <w:sz w:val="18"/>
                <w:szCs w:val="18"/>
              </w:rPr>
              <w:t>1</w:t>
            </w:r>
            <w:r>
              <w:rPr>
                <w:rFonts w:hAnsi="宋体" w:cs="宋体"/>
                <w:sz w:val="18"/>
                <w:szCs w:val="18"/>
              </w:rPr>
              <w:t>4</w:t>
            </w:r>
            <w:r>
              <w:rPr>
                <w:rFonts w:hint="eastAsia" w:hAnsi="宋体" w:cs="宋体"/>
                <w:sz w:val="18"/>
                <w:szCs w:val="18"/>
              </w:rPr>
              <w:t>.</w:t>
            </w:r>
            <w:r>
              <w:rPr>
                <w:rFonts w:hint="eastAsia" w:hAnsi="宋体"/>
                <w:sz w:val="18"/>
                <w:szCs w:val="18"/>
              </w:rPr>
              <w:t xml:space="preserve"> 应对安全防护类设备设施进行维护管理，确保其安全有效，</w:t>
            </w:r>
            <w:r>
              <w:rPr>
                <w:rFonts w:hAnsi="宋体"/>
                <w:sz w:val="18"/>
                <w:szCs w:val="18"/>
              </w:rPr>
              <w:t>常态化建设手工操作系统、机械化系统、自动化系统和智能化系统下的人机和谐安全环境，鼓励员工通过技术创新改善安全生产条件和安全环境</w:t>
            </w:r>
            <w:r>
              <w:rPr>
                <w:rFonts w:hint="eastAsia" w:hAnsi="宋体"/>
                <w:sz w:val="18"/>
                <w:szCs w:val="18"/>
              </w:rPr>
              <w:t>。</w:t>
            </w:r>
          </w:p>
        </w:tc>
        <w:tc>
          <w:tcPr>
            <w:tcW w:w="613" w:type="dxa"/>
            <w:vAlign w:val="center"/>
          </w:tcPr>
          <w:p w14:paraId="12898E03">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76" w:type="dxa"/>
          </w:tcPr>
          <w:p w14:paraId="23A49E3D">
            <w:pPr>
              <w:spacing w:line="300" w:lineRule="exact"/>
              <w:rPr>
                <w:rFonts w:ascii="宋体" w:hAnsi="宋体" w:cs="宋体"/>
                <w:sz w:val="18"/>
                <w:szCs w:val="18"/>
              </w:rPr>
            </w:pPr>
          </w:p>
        </w:tc>
      </w:tr>
      <w:tr w14:paraId="146F8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43" w:type="dxa"/>
            <w:vMerge w:val="continue"/>
            <w:vAlign w:val="center"/>
          </w:tcPr>
          <w:p w14:paraId="7F2CFC29">
            <w:pPr>
              <w:spacing w:line="300" w:lineRule="exact"/>
              <w:jc w:val="center"/>
              <w:rPr>
                <w:rFonts w:ascii="宋体" w:hAnsi="宋体" w:cs="宋体"/>
                <w:sz w:val="18"/>
                <w:szCs w:val="18"/>
              </w:rPr>
            </w:pPr>
          </w:p>
        </w:tc>
        <w:tc>
          <w:tcPr>
            <w:tcW w:w="706" w:type="dxa"/>
            <w:vMerge w:val="continue"/>
            <w:vAlign w:val="center"/>
          </w:tcPr>
          <w:p w14:paraId="5E544CB4">
            <w:pPr>
              <w:spacing w:line="300" w:lineRule="exact"/>
              <w:jc w:val="center"/>
              <w:rPr>
                <w:rFonts w:ascii="宋体" w:hAnsi="宋体" w:cs="宋体"/>
                <w:sz w:val="18"/>
                <w:szCs w:val="18"/>
              </w:rPr>
            </w:pPr>
          </w:p>
        </w:tc>
        <w:tc>
          <w:tcPr>
            <w:tcW w:w="1051" w:type="dxa"/>
            <w:vMerge w:val="continue"/>
            <w:vAlign w:val="center"/>
          </w:tcPr>
          <w:p w14:paraId="590D11E0">
            <w:pPr>
              <w:spacing w:line="300" w:lineRule="exact"/>
              <w:jc w:val="center"/>
              <w:rPr>
                <w:rFonts w:ascii="宋体" w:hAnsi="宋体" w:cs="宋体"/>
                <w:sz w:val="18"/>
                <w:szCs w:val="18"/>
              </w:rPr>
            </w:pPr>
          </w:p>
        </w:tc>
        <w:tc>
          <w:tcPr>
            <w:tcW w:w="11003" w:type="dxa"/>
            <w:vAlign w:val="center"/>
          </w:tcPr>
          <w:p w14:paraId="1425AB82">
            <w:pPr>
              <w:spacing w:line="300" w:lineRule="exact"/>
              <w:rPr>
                <w:rFonts w:ascii="宋体" w:hAnsi="宋体" w:cs="宋体"/>
                <w:sz w:val="18"/>
                <w:szCs w:val="18"/>
              </w:rPr>
            </w:pPr>
            <w:r>
              <w:rPr>
                <w:rFonts w:hint="eastAsia" w:ascii="宋体" w:hAnsi="宋体" w:cs="宋体"/>
                <w:kern w:val="0"/>
                <w:sz w:val="18"/>
                <w:szCs w:val="18"/>
              </w:rPr>
              <w:t>1</w:t>
            </w:r>
            <w:r>
              <w:rPr>
                <w:rFonts w:ascii="宋体" w:hAnsi="宋体" w:cs="宋体"/>
                <w:kern w:val="0"/>
                <w:sz w:val="18"/>
                <w:szCs w:val="18"/>
              </w:rPr>
              <w:t>5</w:t>
            </w:r>
            <w:r>
              <w:rPr>
                <w:rFonts w:hint="eastAsia" w:ascii="宋体" w:hAnsi="宋体" w:cs="宋体"/>
                <w:kern w:val="0"/>
                <w:sz w:val="18"/>
                <w:szCs w:val="18"/>
              </w:rPr>
              <w:t>.针对人员特征信息、工作区域信息、设备设施状态信息等进行安全可视化管理，设置岗位安全责任卡、安全风险告知卡及应急处置卡等，采用电子信息技术、沉浸式技术等实现安全管理可视化。</w:t>
            </w:r>
          </w:p>
        </w:tc>
        <w:tc>
          <w:tcPr>
            <w:tcW w:w="613" w:type="dxa"/>
            <w:vAlign w:val="center"/>
          </w:tcPr>
          <w:p w14:paraId="40575B99">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76" w:type="dxa"/>
          </w:tcPr>
          <w:p w14:paraId="216A0D18">
            <w:pPr>
              <w:spacing w:line="300" w:lineRule="exact"/>
              <w:rPr>
                <w:rFonts w:ascii="宋体" w:hAnsi="宋体" w:cs="宋体"/>
                <w:sz w:val="18"/>
                <w:szCs w:val="18"/>
              </w:rPr>
            </w:pPr>
          </w:p>
        </w:tc>
      </w:tr>
      <w:tr w14:paraId="43ED3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43" w:type="dxa"/>
            <w:vMerge w:val="continue"/>
            <w:vAlign w:val="center"/>
          </w:tcPr>
          <w:p w14:paraId="3FBD3A01">
            <w:pPr>
              <w:spacing w:line="300" w:lineRule="exact"/>
              <w:jc w:val="center"/>
              <w:rPr>
                <w:rFonts w:ascii="宋体" w:hAnsi="宋体" w:cs="宋体"/>
                <w:sz w:val="18"/>
                <w:szCs w:val="18"/>
              </w:rPr>
            </w:pPr>
          </w:p>
        </w:tc>
        <w:tc>
          <w:tcPr>
            <w:tcW w:w="706" w:type="dxa"/>
            <w:vMerge w:val="continue"/>
            <w:vAlign w:val="center"/>
          </w:tcPr>
          <w:p w14:paraId="31821DB4">
            <w:pPr>
              <w:spacing w:line="300" w:lineRule="exact"/>
              <w:jc w:val="center"/>
              <w:rPr>
                <w:rFonts w:ascii="宋体" w:hAnsi="宋体" w:cs="宋体"/>
                <w:sz w:val="18"/>
                <w:szCs w:val="18"/>
              </w:rPr>
            </w:pPr>
          </w:p>
        </w:tc>
        <w:tc>
          <w:tcPr>
            <w:tcW w:w="1051" w:type="dxa"/>
            <w:vMerge w:val="continue"/>
            <w:vAlign w:val="center"/>
          </w:tcPr>
          <w:p w14:paraId="031CF1C8">
            <w:pPr>
              <w:spacing w:line="300" w:lineRule="exact"/>
              <w:jc w:val="center"/>
              <w:rPr>
                <w:rFonts w:ascii="宋体" w:hAnsi="宋体" w:cs="宋体"/>
                <w:sz w:val="18"/>
                <w:szCs w:val="18"/>
              </w:rPr>
            </w:pPr>
          </w:p>
        </w:tc>
        <w:tc>
          <w:tcPr>
            <w:tcW w:w="11003" w:type="dxa"/>
            <w:vAlign w:val="center"/>
          </w:tcPr>
          <w:p w14:paraId="734ECEF9">
            <w:pPr>
              <w:spacing w:line="300" w:lineRule="exact"/>
              <w:rPr>
                <w:rFonts w:ascii="宋体" w:hAnsi="宋体" w:cs="宋体"/>
                <w:sz w:val="18"/>
                <w:szCs w:val="18"/>
              </w:rPr>
            </w:pPr>
            <w:r>
              <w:rPr>
                <w:rFonts w:hint="eastAsia" w:ascii="宋体" w:hAnsi="宋体" w:cs="宋体"/>
                <w:kern w:val="0"/>
                <w:sz w:val="18"/>
                <w:szCs w:val="18"/>
              </w:rPr>
              <w:t>1</w:t>
            </w:r>
            <w:r>
              <w:rPr>
                <w:rFonts w:ascii="宋体" w:hAnsi="宋体" w:cs="宋体"/>
                <w:kern w:val="0"/>
                <w:sz w:val="18"/>
                <w:szCs w:val="18"/>
              </w:rPr>
              <w:t>6</w:t>
            </w:r>
            <w:r>
              <w:rPr>
                <w:rFonts w:hint="eastAsia" w:ascii="宋体" w:hAnsi="宋体" w:cs="宋体"/>
                <w:kern w:val="0"/>
                <w:sz w:val="18"/>
                <w:szCs w:val="18"/>
              </w:rPr>
              <w:t>.</w:t>
            </w:r>
            <w:r>
              <w:rPr>
                <w:rFonts w:hint="eastAsia" w:ascii="宋体" w:hAnsi="宋体"/>
                <w:sz w:val="18"/>
                <w:szCs w:val="18"/>
              </w:rPr>
              <w:t xml:space="preserve"> 在车间墙壁、上班通道、班组活动场所等醒目位置应设置安全应急警示标识、指示牌、温情提示、应急疏散路径指示图等。</w:t>
            </w:r>
          </w:p>
        </w:tc>
        <w:tc>
          <w:tcPr>
            <w:tcW w:w="613" w:type="dxa"/>
            <w:vAlign w:val="center"/>
          </w:tcPr>
          <w:p w14:paraId="5E52CDD8">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76" w:type="dxa"/>
          </w:tcPr>
          <w:p w14:paraId="079941CE">
            <w:pPr>
              <w:spacing w:line="300" w:lineRule="exact"/>
              <w:rPr>
                <w:rFonts w:ascii="宋体" w:hAnsi="宋体" w:cs="宋体"/>
                <w:sz w:val="18"/>
                <w:szCs w:val="18"/>
              </w:rPr>
            </w:pPr>
          </w:p>
        </w:tc>
      </w:tr>
      <w:tr w14:paraId="1F2DF7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43" w:type="dxa"/>
            <w:vMerge w:val="continue"/>
            <w:vAlign w:val="center"/>
          </w:tcPr>
          <w:p w14:paraId="2E515700">
            <w:pPr>
              <w:spacing w:line="300" w:lineRule="exact"/>
              <w:jc w:val="center"/>
              <w:rPr>
                <w:rFonts w:ascii="宋体" w:hAnsi="宋体" w:cs="宋体"/>
                <w:sz w:val="18"/>
                <w:szCs w:val="18"/>
              </w:rPr>
            </w:pPr>
          </w:p>
        </w:tc>
        <w:tc>
          <w:tcPr>
            <w:tcW w:w="706" w:type="dxa"/>
            <w:vMerge w:val="continue"/>
            <w:vAlign w:val="center"/>
          </w:tcPr>
          <w:p w14:paraId="286F040C">
            <w:pPr>
              <w:spacing w:line="300" w:lineRule="exact"/>
              <w:jc w:val="center"/>
              <w:rPr>
                <w:rFonts w:ascii="宋体" w:hAnsi="宋体" w:cs="宋体"/>
                <w:sz w:val="18"/>
                <w:szCs w:val="18"/>
              </w:rPr>
            </w:pPr>
          </w:p>
        </w:tc>
        <w:tc>
          <w:tcPr>
            <w:tcW w:w="1051" w:type="dxa"/>
            <w:vMerge w:val="continue"/>
            <w:vAlign w:val="center"/>
          </w:tcPr>
          <w:p w14:paraId="26D5825A">
            <w:pPr>
              <w:spacing w:line="300" w:lineRule="exact"/>
              <w:jc w:val="center"/>
              <w:rPr>
                <w:rFonts w:ascii="宋体" w:hAnsi="宋体" w:cs="宋体"/>
                <w:sz w:val="18"/>
                <w:szCs w:val="18"/>
              </w:rPr>
            </w:pPr>
          </w:p>
        </w:tc>
        <w:tc>
          <w:tcPr>
            <w:tcW w:w="11003" w:type="dxa"/>
            <w:vAlign w:val="center"/>
          </w:tcPr>
          <w:p w14:paraId="34B726EE">
            <w:pPr>
              <w:pStyle w:val="23"/>
              <w:numPr>
                <w:ilvl w:val="0"/>
                <w:numId w:val="0"/>
              </w:numPr>
              <w:rPr>
                <w:rFonts w:hAnsi="宋体"/>
                <w:sz w:val="18"/>
                <w:szCs w:val="18"/>
              </w:rPr>
            </w:pPr>
            <w:r>
              <w:rPr>
                <w:rFonts w:hint="eastAsia" w:hAnsi="宋体" w:cs="宋体"/>
                <w:sz w:val="18"/>
                <w:szCs w:val="18"/>
              </w:rPr>
              <w:t>1</w:t>
            </w:r>
            <w:r>
              <w:rPr>
                <w:rFonts w:hAnsi="宋体" w:cs="宋体"/>
                <w:sz w:val="18"/>
                <w:szCs w:val="18"/>
              </w:rPr>
              <w:t>7.</w:t>
            </w:r>
            <w:r>
              <w:rPr>
                <w:rFonts w:hint="eastAsia" w:hAnsi="宋体"/>
                <w:sz w:val="18"/>
                <w:szCs w:val="18"/>
              </w:rPr>
              <w:t xml:space="preserve"> 应制作应急避难场所分布图（表），在应急避难场所设置显著标志，</w:t>
            </w:r>
            <w:r>
              <w:rPr>
                <w:rFonts w:hint="eastAsia" w:hAnsi="宋体" w:cs="宋体"/>
                <w:sz w:val="18"/>
                <w:szCs w:val="18"/>
              </w:rPr>
              <w:t>避险设施和应急器材应</w:t>
            </w:r>
            <w:r>
              <w:rPr>
                <w:rFonts w:hint="eastAsia" w:hAnsi="宋体"/>
                <w:sz w:val="18"/>
                <w:szCs w:val="18"/>
              </w:rPr>
              <w:t>齐全。</w:t>
            </w:r>
          </w:p>
        </w:tc>
        <w:tc>
          <w:tcPr>
            <w:tcW w:w="613" w:type="dxa"/>
            <w:vAlign w:val="center"/>
          </w:tcPr>
          <w:p w14:paraId="5CFA4CB6">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76" w:type="dxa"/>
          </w:tcPr>
          <w:p w14:paraId="49CDD6EC">
            <w:pPr>
              <w:spacing w:line="300" w:lineRule="exact"/>
              <w:rPr>
                <w:rFonts w:ascii="宋体" w:hAnsi="宋体" w:cs="宋体"/>
                <w:sz w:val="18"/>
                <w:szCs w:val="18"/>
              </w:rPr>
            </w:pPr>
          </w:p>
        </w:tc>
      </w:tr>
      <w:tr w14:paraId="36605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43" w:type="dxa"/>
            <w:vMerge w:val="continue"/>
            <w:vAlign w:val="center"/>
          </w:tcPr>
          <w:p w14:paraId="64078B1C">
            <w:pPr>
              <w:spacing w:line="300" w:lineRule="exact"/>
              <w:jc w:val="center"/>
              <w:rPr>
                <w:rFonts w:ascii="宋体" w:hAnsi="宋体" w:cs="宋体"/>
                <w:sz w:val="18"/>
                <w:szCs w:val="18"/>
              </w:rPr>
            </w:pPr>
          </w:p>
        </w:tc>
        <w:tc>
          <w:tcPr>
            <w:tcW w:w="706" w:type="dxa"/>
            <w:vMerge w:val="continue"/>
            <w:vAlign w:val="center"/>
          </w:tcPr>
          <w:p w14:paraId="443247E7">
            <w:pPr>
              <w:spacing w:line="300" w:lineRule="exact"/>
              <w:jc w:val="center"/>
              <w:rPr>
                <w:rFonts w:ascii="宋体" w:hAnsi="宋体" w:cs="宋体"/>
                <w:sz w:val="18"/>
                <w:szCs w:val="18"/>
              </w:rPr>
            </w:pPr>
          </w:p>
        </w:tc>
        <w:tc>
          <w:tcPr>
            <w:tcW w:w="1051" w:type="dxa"/>
            <w:vMerge w:val="continue"/>
            <w:vAlign w:val="center"/>
          </w:tcPr>
          <w:p w14:paraId="125E810E">
            <w:pPr>
              <w:spacing w:line="300" w:lineRule="exact"/>
              <w:jc w:val="center"/>
              <w:rPr>
                <w:rFonts w:ascii="宋体" w:hAnsi="宋体" w:cs="宋体"/>
                <w:sz w:val="18"/>
                <w:szCs w:val="18"/>
              </w:rPr>
            </w:pPr>
          </w:p>
        </w:tc>
        <w:tc>
          <w:tcPr>
            <w:tcW w:w="11003" w:type="dxa"/>
            <w:vAlign w:val="center"/>
          </w:tcPr>
          <w:p w14:paraId="47ECAE78">
            <w:pPr>
              <w:spacing w:line="300" w:lineRule="exact"/>
              <w:rPr>
                <w:rFonts w:ascii="宋体" w:hAnsi="宋体" w:cs="宋体"/>
                <w:sz w:val="18"/>
                <w:szCs w:val="18"/>
              </w:rPr>
            </w:pPr>
            <w:r>
              <w:rPr>
                <w:rFonts w:hint="eastAsia" w:ascii="宋体" w:hAnsi="宋体" w:cs="宋体"/>
                <w:kern w:val="0"/>
                <w:sz w:val="18"/>
                <w:szCs w:val="18"/>
              </w:rPr>
              <w:t>1</w:t>
            </w:r>
            <w:r>
              <w:rPr>
                <w:rFonts w:ascii="宋体" w:hAnsi="宋体" w:cs="宋体"/>
                <w:kern w:val="0"/>
                <w:sz w:val="18"/>
                <w:szCs w:val="18"/>
              </w:rPr>
              <w:t>8</w:t>
            </w:r>
            <w:r>
              <w:rPr>
                <w:rFonts w:hint="eastAsia" w:ascii="宋体" w:hAnsi="宋体" w:cs="宋体"/>
                <w:kern w:val="0"/>
                <w:sz w:val="18"/>
                <w:szCs w:val="18"/>
              </w:rPr>
              <w:t>.</w:t>
            </w:r>
            <w:r>
              <w:rPr>
                <w:rFonts w:hint="eastAsia" w:ascii="宋体" w:hAnsi="宋体"/>
                <w:sz w:val="18"/>
                <w:szCs w:val="18"/>
              </w:rPr>
              <w:t xml:space="preserve"> 应设立安全教育阅览室、安全文化廊、安全角、黑板报、宣传栏等安全文化阵地，内容新颖、更新及时。</w:t>
            </w:r>
          </w:p>
        </w:tc>
        <w:tc>
          <w:tcPr>
            <w:tcW w:w="613" w:type="dxa"/>
            <w:vAlign w:val="center"/>
          </w:tcPr>
          <w:p w14:paraId="47D5F432">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76" w:type="dxa"/>
          </w:tcPr>
          <w:p w14:paraId="127A4C71">
            <w:pPr>
              <w:spacing w:line="300" w:lineRule="exact"/>
              <w:rPr>
                <w:rFonts w:ascii="宋体" w:hAnsi="宋体" w:cs="宋体"/>
                <w:sz w:val="18"/>
                <w:szCs w:val="18"/>
              </w:rPr>
            </w:pPr>
          </w:p>
        </w:tc>
      </w:tr>
      <w:tr w14:paraId="35BA3E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43" w:type="dxa"/>
            <w:vMerge w:val="continue"/>
            <w:vAlign w:val="center"/>
          </w:tcPr>
          <w:p w14:paraId="1ED389CE">
            <w:pPr>
              <w:spacing w:line="300" w:lineRule="exact"/>
              <w:jc w:val="center"/>
              <w:rPr>
                <w:rFonts w:ascii="宋体" w:hAnsi="宋体" w:cs="宋体"/>
                <w:sz w:val="18"/>
                <w:szCs w:val="18"/>
              </w:rPr>
            </w:pPr>
          </w:p>
        </w:tc>
        <w:tc>
          <w:tcPr>
            <w:tcW w:w="706" w:type="dxa"/>
            <w:vMerge w:val="continue"/>
            <w:vAlign w:val="center"/>
          </w:tcPr>
          <w:p w14:paraId="678355B7">
            <w:pPr>
              <w:spacing w:line="300" w:lineRule="exact"/>
              <w:jc w:val="center"/>
              <w:rPr>
                <w:rFonts w:ascii="宋体" w:hAnsi="宋体" w:cs="宋体"/>
                <w:sz w:val="18"/>
                <w:szCs w:val="18"/>
              </w:rPr>
            </w:pPr>
          </w:p>
        </w:tc>
        <w:tc>
          <w:tcPr>
            <w:tcW w:w="1051" w:type="dxa"/>
            <w:vMerge w:val="continue"/>
            <w:vAlign w:val="center"/>
          </w:tcPr>
          <w:p w14:paraId="2D9F2B76">
            <w:pPr>
              <w:spacing w:line="300" w:lineRule="exact"/>
              <w:jc w:val="center"/>
              <w:rPr>
                <w:rFonts w:ascii="宋体" w:hAnsi="宋体" w:cs="宋体"/>
                <w:sz w:val="18"/>
                <w:szCs w:val="18"/>
              </w:rPr>
            </w:pPr>
          </w:p>
        </w:tc>
        <w:tc>
          <w:tcPr>
            <w:tcW w:w="11003" w:type="dxa"/>
            <w:vAlign w:val="center"/>
          </w:tcPr>
          <w:p w14:paraId="3ADA7CC5">
            <w:pPr>
              <w:pStyle w:val="23"/>
              <w:numPr>
                <w:ilvl w:val="0"/>
                <w:numId w:val="0"/>
              </w:numPr>
              <w:rPr>
                <w:rFonts w:hAnsi="宋体"/>
                <w:sz w:val="18"/>
                <w:szCs w:val="18"/>
              </w:rPr>
            </w:pPr>
            <w:r>
              <w:rPr>
                <w:rFonts w:hAnsi="宋体" w:cs="宋体"/>
                <w:sz w:val="18"/>
                <w:szCs w:val="18"/>
              </w:rPr>
              <w:t>19</w:t>
            </w:r>
            <w:r>
              <w:rPr>
                <w:rFonts w:hint="eastAsia" w:hAnsi="宋体" w:cs="宋体"/>
                <w:sz w:val="18"/>
                <w:szCs w:val="18"/>
              </w:rPr>
              <w:t>.</w:t>
            </w:r>
            <w:r>
              <w:rPr>
                <w:rFonts w:hint="eastAsia" w:hAnsi="宋体"/>
                <w:sz w:val="18"/>
                <w:szCs w:val="18"/>
              </w:rPr>
              <w:t xml:space="preserve"> 应</w:t>
            </w:r>
            <w:r>
              <w:rPr>
                <w:rFonts w:hint="eastAsia" w:hAnsi="宋体" w:cs="宋体"/>
                <w:sz w:val="18"/>
                <w:szCs w:val="18"/>
              </w:rPr>
              <w:t>每年至少开展一次安全文化建设专题培训</w:t>
            </w:r>
            <w:r>
              <w:rPr>
                <w:rFonts w:hint="eastAsia" w:hAnsi="宋体"/>
                <w:sz w:val="18"/>
                <w:szCs w:val="18"/>
              </w:rPr>
              <w:t>；拓展信息化手段，订报读报，广泛运用网络技术和新媒体，播放法律法规、安全常识、事故警示、先进事迹、实践经验等内容，营造浓厚的企业安全文化环境氛围，</w:t>
            </w:r>
            <w:r>
              <w:rPr>
                <w:rFonts w:hAnsi="宋体"/>
                <w:sz w:val="18"/>
                <w:szCs w:val="18"/>
              </w:rPr>
              <w:t>组织以安全为主题的文艺演出、宣传活动、视频展播等活动，积极营造“人人讲安全，个个会应急”的安全氛围</w:t>
            </w:r>
            <w:r>
              <w:rPr>
                <w:rFonts w:hint="eastAsia" w:hAnsi="宋体"/>
                <w:sz w:val="18"/>
                <w:szCs w:val="18"/>
              </w:rPr>
              <w:t>。</w:t>
            </w:r>
          </w:p>
        </w:tc>
        <w:tc>
          <w:tcPr>
            <w:tcW w:w="613" w:type="dxa"/>
            <w:vAlign w:val="center"/>
          </w:tcPr>
          <w:p w14:paraId="5EDDB6C2">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76" w:type="dxa"/>
          </w:tcPr>
          <w:p w14:paraId="10DAE094">
            <w:pPr>
              <w:spacing w:line="300" w:lineRule="exact"/>
              <w:rPr>
                <w:rFonts w:ascii="宋体" w:hAnsi="宋体" w:cs="宋体"/>
                <w:sz w:val="18"/>
                <w:szCs w:val="18"/>
              </w:rPr>
            </w:pPr>
          </w:p>
        </w:tc>
      </w:tr>
      <w:tr w14:paraId="1A0FED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43" w:type="dxa"/>
            <w:vMerge w:val="continue"/>
            <w:vAlign w:val="center"/>
          </w:tcPr>
          <w:p w14:paraId="7B4831A2">
            <w:pPr>
              <w:spacing w:line="300" w:lineRule="exact"/>
              <w:jc w:val="center"/>
              <w:rPr>
                <w:rFonts w:ascii="宋体" w:hAnsi="宋体" w:cs="宋体"/>
                <w:sz w:val="18"/>
                <w:szCs w:val="18"/>
              </w:rPr>
            </w:pPr>
          </w:p>
        </w:tc>
        <w:tc>
          <w:tcPr>
            <w:tcW w:w="706" w:type="dxa"/>
            <w:vMerge w:val="continue"/>
            <w:vAlign w:val="center"/>
          </w:tcPr>
          <w:p w14:paraId="4776AFF4">
            <w:pPr>
              <w:spacing w:line="300" w:lineRule="exact"/>
              <w:jc w:val="center"/>
              <w:rPr>
                <w:rFonts w:ascii="宋体" w:hAnsi="宋体" w:cs="宋体"/>
                <w:sz w:val="18"/>
                <w:szCs w:val="18"/>
              </w:rPr>
            </w:pPr>
          </w:p>
        </w:tc>
        <w:tc>
          <w:tcPr>
            <w:tcW w:w="1051" w:type="dxa"/>
            <w:vMerge w:val="continue"/>
            <w:vAlign w:val="center"/>
          </w:tcPr>
          <w:p w14:paraId="15AFB14F">
            <w:pPr>
              <w:spacing w:line="300" w:lineRule="exact"/>
              <w:jc w:val="center"/>
              <w:rPr>
                <w:rFonts w:ascii="宋体" w:hAnsi="宋体" w:cs="宋体"/>
                <w:sz w:val="18"/>
                <w:szCs w:val="18"/>
              </w:rPr>
            </w:pPr>
          </w:p>
        </w:tc>
        <w:tc>
          <w:tcPr>
            <w:tcW w:w="11003" w:type="dxa"/>
            <w:vAlign w:val="center"/>
          </w:tcPr>
          <w:p w14:paraId="44B7E63A">
            <w:pPr>
              <w:spacing w:line="300" w:lineRule="exact"/>
              <w:rPr>
                <w:rFonts w:ascii="宋体" w:hAnsi="宋体" w:cs="宋体"/>
                <w:sz w:val="18"/>
                <w:szCs w:val="18"/>
              </w:rPr>
            </w:pPr>
            <w:r>
              <w:rPr>
                <w:rFonts w:hint="eastAsia" w:ascii="宋体" w:hAnsi="宋体" w:cs="宋体"/>
                <w:kern w:val="0"/>
                <w:sz w:val="18"/>
                <w:szCs w:val="18"/>
              </w:rPr>
              <w:t>2</w:t>
            </w:r>
            <w:r>
              <w:rPr>
                <w:rFonts w:ascii="宋体" w:hAnsi="宋体" w:cs="宋体"/>
                <w:kern w:val="0"/>
                <w:sz w:val="18"/>
                <w:szCs w:val="18"/>
              </w:rPr>
              <w:t>0</w:t>
            </w:r>
            <w:r>
              <w:rPr>
                <w:rFonts w:hint="eastAsia" w:ascii="宋体" w:hAnsi="宋体" w:cs="宋体"/>
                <w:kern w:val="0"/>
                <w:sz w:val="18"/>
                <w:szCs w:val="18"/>
              </w:rPr>
              <w:t>.</w:t>
            </w:r>
            <w:r>
              <w:rPr>
                <w:rFonts w:hint="eastAsia" w:ascii="宋体" w:hAnsi="宋体"/>
                <w:sz w:val="18"/>
                <w:szCs w:val="18"/>
              </w:rPr>
              <w:t xml:space="preserve"> 应建立高效的安全生产信息沟通和反馈机制，确保各职能部门、企业所属各单位和安全管理部门保持良好的沟通协作，员工反映安全问题渠道畅通，</w:t>
            </w:r>
            <w:r>
              <w:rPr>
                <w:rFonts w:hint="eastAsia" w:ascii="宋体" w:hAnsi="宋体" w:cs="宋体"/>
                <w:sz w:val="18"/>
                <w:szCs w:val="18"/>
              </w:rPr>
              <w:t>并得到及时处理的信息反馈，</w:t>
            </w:r>
            <w:r>
              <w:rPr>
                <w:rFonts w:ascii="宋体" w:hAnsi="宋体"/>
                <w:sz w:val="18"/>
                <w:szCs w:val="18"/>
              </w:rPr>
              <w:t>建立安全风险预警系统和安全信息管理平台，加强对外学习、交流和宣传，营造和谐的内部和外部安全生产环境</w:t>
            </w:r>
            <w:r>
              <w:rPr>
                <w:rFonts w:hint="eastAsia" w:ascii="宋体" w:hAnsi="宋体" w:cs="宋体"/>
                <w:sz w:val="18"/>
                <w:szCs w:val="18"/>
              </w:rPr>
              <w:t>。</w:t>
            </w:r>
          </w:p>
        </w:tc>
        <w:tc>
          <w:tcPr>
            <w:tcW w:w="613" w:type="dxa"/>
            <w:vAlign w:val="center"/>
          </w:tcPr>
          <w:p w14:paraId="46FD4C01">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76" w:type="dxa"/>
          </w:tcPr>
          <w:p w14:paraId="417E7BD0">
            <w:pPr>
              <w:spacing w:line="300" w:lineRule="exact"/>
              <w:rPr>
                <w:rFonts w:ascii="宋体" w:hAnsi="宋体" w:cs="宋体"/>
                <w:sz w:val="18"/>
                <w:szCs w:val="18"/>
              </w:rPr>
            </w:pPr>
          </w:p>
        </w:tc>
      </w:tr>
      <w:bookmarkEnd w:id="13"/>
      <w:bookmarkEnd w:id="14"/>
    </w:tbl>
    <w:p w14:paraId="0C18EC30">
      <w:pPr>
        <w:rPr>
          <w:rFonts w:ascii="黑体" w:hAnsi="黑体" w:eastAsia="黑体"/>
        </w:rPr>
      </w:pPr>
    </w:p>
    <w:p w14:paraId="0998724C">
      <w:pPr>
        <w:jc w:val="center"/>
        <w:rPr>
          <w:rFonts w:ascii="黑体" w:hAnsi="黑体" w:eastAsia="黑体"/>
        </w:rPr>
      </w:pPr>
    </w:p>
    <w:p w14:paraId="12E8E2DD">
      <w:pPr>
        <w:jc w:val="center"/>
        <w:rPr>
          <w:rFonts w:ascii="黑体" w:hAnsi="黑体" w:eastAsia="黑体"/>
        </w:rPr>
      </w:pPr>
    </w:p>
    <w:p w14:paraId="77792454">
      <w:pPr>
        <w:pStyle w:val="20"/>
        <w:numPr>
          <w:ilvl w:val="0"/>
          <w:numId w:val="0"/>
        </w:numPr>
        <w:spacing w:before="0" w:beforeLines="0" w:after="0" w:afterLines="0"/>
      </w:pPr>
      <w:r>
        <w:rPr>
          <w:rFonts w:hint="eastAsia"/>
        </w:rPr>
        <w:t>表A.1  企业安全文化建设与星级评价评分表（续）</w:t>
      </w:r>
    </w:p>
    <w:tbl>
      <w:tblPr>
        <w:tblStyle w:val="14"/>
        <w:tblW w:w="1469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91"/>
        <w:gridCol w:w="1134"/>
        <w:gridCol w:w="10883"/>
        <w:gridCol w:w="750"/>
        <w:gridCol w:w="660"/>
      </w:tblGrid>
      <w:tr w14:paraId="145C81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8" w:space="0"/>
              <w:bottom w:val="single" w:color="auto" w:sz="8" w:space="0"/>
            </w:tcBorders>
            <w:vAlign w:val="center"/>
          </w:tcPr>
          <w:p w14:paraId="77FDEE46">
            <w:pPr>
              <w:spacing w:line="300" w:lineRule="exact"/>
              <w:jc w:val="center"/>
              <w:rPr>
                <w:rFonts w:ascii="宋体" w:hAnsi="宋体"/>
                <w:b/>
                <w:sz w:val="18"/>
                <w:szCs w:val="18"/>
              </w:rPr>
            </w:pPr>
            <w:r>
              <w:rPr>
                <w:rFonts w:hint="eastAsia" w:ascii="宋体" w:hAnsi="宋体" w:cs="宋体"/>
                <w:b/>
                <w:kern w:val="0"/>
                <w:sz w:val="18"/>
                <w:szCs w:val="18"/>
              </w:rPr>
              <w:t>序号</w:t>
            </w:r>
          </w:p>
        </w:tc>
        <w:tc>
          <w:tcPr>
            <w:tcW w:w="591" w:type="dxa"/>
            <w:tcBorders>
              <w:top w:val="single" w:color="auto" w:sz="8" w:space="0"/>
              <w:bottom w:val="single" w:color="auto" w:sz="8" w:space="0"/>
            </w:tcBorders>
          </w:tcPr>
          <w:p w14:paraId="7AD18120">
            <w:pPr>
              <w:spacing w:line="300" w:lineRule="exact"/>
              <w:jc w:val="center"/>
              <w:rPr>
                <w:rFonts w:ascii="宋体" w:hAnsi="宋体" w:cs="宋体"/>
                <w:b/>
                <w:kern w:val="0"/>
                <w:sz w:val="18"/>
                <w:szCs w:val="18"/>
              </w:rPr>
            </w:pPr>
            <w:r>
              <w:rPr>
                <w:rFonts w:hint="eastAsia" w:ascii="宋体" w:hAnsi="宋体" w:cs="宋体"/>
                <w:b/>
                <w:kern w:val="0"/>
                <w:sz w:val="18"/>
                <w:szCs w:val="18"/>
              </w:rPr>
              <w:t>指标类别</w:t>
            </w:r>
          </w:p>
        </w:tc>
        <w:tc>
          <w:tcPr>
            <w:tcW w:w="1134" w:type="dxa"/>
            <w:tcBorders>
              <w:top w:val="single" w:color="auto" w:sz="8" w:space="0"/>
              <w:bottom w:val="single" w:color="auto" w:sz="8" w:space="0"/>
            </w:tcBorders>
            <w:vAlign w:val="center"/>
          </w:tcPr>
          <w:p w14:paraId="4F7AF71F">
            <w:pPr>
              <w:spacing w:line="300" w:lineRule="exact"/>
              <w:jc w:val="center"/>
              <w:rPr>
                <w:rFonts w:ascii="宋体" w:hAnsi="宋体"/>
                <w:b/>
                <w:sz w:val="18"/>
                <w:szCs w:val="18"/>
              </w:rPr>
            </w:pPr>
            <w:r>
              <w:rPr>
                <w:rFonts w:hint="eastAsia" w:ascii="宋体" w:hAnsi="宋体" w:cs="宋体"/>
                <w:b/>
                <w:kern w:val="0"/>
                <w:sz w:val="18"/>
                <w:szCs w:val="18"/>
              </w:rPr>
              <w:t>一级指标</w:t>
            </w:r>
          </w:p>
        </w:tc>
        <w:tc>
          <w:tcPr>
            <w:tcW w:w="10883" w:type="dxa"/>
            <w:tcBorders>
              <w:top w:val="single" w:color="auto" w:sz="8" w:space="0"/>
              <w:bottom w:val="single" w:color="auto" w:sz="8" w:space="0"/>
            </w:tcBorders>
            <w:vAlign w:val="center"/>
          </w:tcPr>
          <w:p w14:paraId="5AAFD1A9">
            <w:pPr>
              <w:spacing w:line="300" w:lineRule="exact"/>
              <w:jc w:val="center"/>
              <w:rPr>
                <w:rFonts w:ascii="宋体" w:hAnsi="宋体"/>
                <w:b/>
                <w:sz w:val="18"/>
                <w:szCs w:val="18"/>
              </w:rPr>
            </w:pPr>
            <w:r>
              <w:rPr>
                <w:rFonts w:hint="eastAsia" w:ascii="宋体" w:hAnsi="宋体" w:cs="宋体"/>
                <w:b/>
                <w:kern w:val="0"/>
                <w:sz w:val="18"/>
                <w:szCs w:val="18"/>
              </w:rPr>
              <w:t>二级指标</w:t>
            </w:r>
          </w:p>
        </w:tc>
        <w:tc>
          <w:tcPr>
            <w:tcW w:w="750" w:type="dxa"/>
            <w:tcBorders>
              <w:top w:val="single" w:color="auto" w:sz="8" w:space="0"/>
              <w:bottom w:val="single" w:color="auto" w:sz="8" w:space="0"/>
            </w:tcBorders>
            <w:vAlign w:val="center"/>
          </w:tcPr>
          <w:p w14:paraId="2D181D38">
            <w:pPr>
              <w:spacing w:line="300" w:lineRule="exact"/>
              <w:jc w:val="center"/>
              <w:rPr>
                <w:rFonts w:ascii="宋体" w:hAnsi="宋体"/>
                <w:b/>
                <w:sz w:val="18"/>
                <w:szCs w:val="18"/>
              </w:rPr>
            </w:pPr>
            <w:r>
              <w:rPr>
                <w:rFonts w:hint="eastAsia" w:ascii="宋体" w:hAnsi="宋体" w:cs="宋体"/>
                <w:b/>
                <w:kern w:val="0"/>
                <w:sz w:val="18"/>
                <w:szCs w:val="18"/>
              </w:rPr>
              <w:t>满分分值</w:t>
            </w:r>
          </w:p>
        </w:tc>
        <w:tc>
          <w:tcPr>
            <w:tcW w:w="660" w:type="dxa"/>
            <w:tcBorders>
              <w:top w:val="single" w:color="auto" w:sz="8" w:space="0"/>
              <w:bottom w:val="single" w:color="auto" w:sz="8" w:space="0"/>
            </w:tcBorders>
            <w:vAlign w:val="center"/>
          </w:tcPr>
          <w:p w14:paraId="4C5A24F6">
            <w:pPr>
              <w:spacing w:line="300" w:lineRule="exact"/>
              <w:jc w:val="center"/>
              <w:rPr>
                <w:rFonts w:ascii="宋体" w:hAnsi="宋体"/>
                <w:b/>
                <w:sz w:val="18"/>
                <w:szCs w:val="18"/>
              </w:rPr>
            </w:pPr>
            <w:r>
              <w:rPr>
                <w:rFonts w:hint="eastAsia" w:ascii="宋体" w:hAnsi="宋体" w:cs="宋体"/>
                <w:b/>
                <w:kern w:val="0"/>
                <w:sz w:val="18"/>
                <w:szCs w:val="18"/>
              </w:rPr>
              <w:t>评价分值</w:t>
            </w:r>
          </w:p>
        </w:tc>
      </w:tr>
      <w:tr w14:paraId="003BD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4CEAD3ED">
            <w:pPr>
              <w:spacing w:line="300" w:lineRule="exact"/>
              <w:jc w:val="center"/>
              <w:rPr>
                <w:rFonts w:ascii="宋体" w:hAnsi="宋体" w:cs="宋体"/>
                <w:sz w:val="18"/>
                <w:szCs w:val="18"/>
              </w:rPr>
            </w:pPr>
            <w:r>
              <w:rPr>
                <w:rFonts w:hint="eastAsia" w:ascii="宋体" w:hAnsi="宋体" w:cs="宋体"/>
                <w:sz w:val="18"/>
                <w:szCs w:val="18"/>
              </w:rPr>
              <w:t>5</w:t>
            </w:r>
          </w:p>
        </w:tc>
        <w:tc>
          <w:tcPr>
            <w:tcW w:w="591" w:type="dxa"/>
            <w:vMerge w:val="restart"/>
            <w:vAlign w:val="center"/>
          </w:tcPr>
          <w:p w14:paraId="7CBB8DE9">
            <w:pPr>
              <w:spacing w:line="300" w:lineRule="exact"/>
              <w:jc w:val="center"/>
              <w:rPr>
                <w:rFonts w:ascii="宋体" w:hAnsi="宋体" w:cs="宋体"/>
                <w:bCs/>
                <w:sz w:val="18"/>
                <w:szCs w:val="18"/>
              </w:rPr>
            </w:pPr>
            <w:r>
              <w:rPr>
                <w:rFonts w:hint="eastAsia" w:ascii="宋体" w:hAnsi="宋体" w:cs="宋体"/>
                <w:bCs/>
                <w:kern w:val="0"/>
                <w:sz w:val="18"/>
                <w:szCs w:val="18"/>
              </w:rPr>
              <w:t>Ⅱ类</w:t>
            </w:r>
          </w:p>
        </w:tc>
        <w:tc>
          <w:tcPr>
            <w:tcW w:w="1134" w:type="dxa"/>
            <w:vMerge w:val="restart"/>
            <w:vAlign w:val="center"/>
          </w:tcPr>
          <w:p w14:paraId="39C913BF">
            <w:pPr>
              <w:spacing w:line="300" w:lineRule="exact"/>
              <w:jc w:val="center"/>
              <w:rPr>
                <w:rFonts w:ascii="宋体" w:hAnsi="宋体" w:cs="宋体"/>
                <w:sz w:val="18"/>
                <w:szCs w:val="18"/>
              </w:rPr>
            </w:pPr>
          </w:p>
        </w:tc>
        <w:tc>
          <w:tcPr>
            <w:tcW w:w="10883" w:type="dxa"/>
            <w:vAlign w:val="center"/>
          </w:tcPr>
          <w:p w14:paraId="2A2E88DE">
            <w:pPr>
              <w:spacing w:line="300" w:lineRule="exact"/>
              <w:rPr>
                <w:rFonts w:ascii="宋体" w:hAnsi="宋体" w:cs="宋体"/>
                <w:kern w:val="0"/>
                <w:sz w:val="18"/>
                <w:szCs w:val="18"/>
              </w:rPr>
            </w:pPr>
            <w:r>
              <w:rPr>
                <w:rFonts w:ascii="宋体" w:hAnsi="宋体" w:cs="宋体"/>
                <w:sz w:val="18"/>
                <w:szCs w:val="18"/>
              </w:rPr>
              <w:t>21.</w:t>
            </w:r>
            <w:r>
              <w:rPr>
                <w:rFonts w:hint="eastAsia" w:ascii="宋体" w:hAnsi="宋体" w:cs="宋体"/>
                <w:sz w:val="18"/>
                <w:szCs w:val="18"/>
              </w:rPr>
              <w:t>应根据员工身心特点和实际需求，结合自有条件、公共资源、行业平台及公益渠道等开展员工心理咨询、心理测评、心理辅导等服务，强化职业健康保护，弘扬安全生产正能量，防范因员工行为异常引发生产安全事故。</w:t>
            </w:r>
          </w:p>
        </w:tc>
        <w:tc>
          <w:tcPr>
            <w:tcW w:w="750" w:type="dxa"/>
            <w:vAlign w:val="center"/>
          </w:tcPr>
          <w:p w14:paraId="4ED6B257">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5CD27AE8">
            <w:pPr>
              <w:spacing w:line="300" w:lineRule="exact"/>
              <w:rPr>
                <w:rFonts w:ascii="宋体" w:hAnsi="宋体"/>
                <w:sz w:val="18"/>
                <w:szCs w:val="18"/>
              </w:rPr>
            </w:pPr>
          </w:p>
        </w:tc>
      </w:tr>
      <w:tr w14:paraId="168F68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412CF06">
            <w:pPr>
              <w:spacing w:line="300" w:lineRule="exact"/>
              <w:jc w:val="center"/>
              <w:rPr>
                <w:rFonts w:ascii="宋体" w:hAnsi="宋体" w:cs="宋体"/>
                <w:sz w:val="18"/>
                <w:szCs w:val="18"/>
              </w:rPr>
            </w:pPr>
          </w:p>
        </w:tc>
        <w:tc>
          <w:tcPr>
            <w:tcW w:w="591" w:type="dxa"/>
            <w:vMerge w:val="continue"/>
            <w:vAlign w:val="center"/>
          </w:tcPr>
          <w:p w14:paraId="3EC02DE4">
            <w:pPr>
              <w:spacing w:line="300" w:lineRule="exact"/>
              <w:jc w:val="center"/>
              <w:rPr>
                <w:rFonts w:ascii="宋体" w:hAnsi="宋体" w:cs="宋体"/>
                <w:bCs/>
                <w:kern w:val="0"/>
                <w:sz w:val="18"/>
                <w:szCs w:val="18"/>
              </w:rPr>
            </w:pPr>
          </w:p>
        </w:tc>
        <w:tc>
          <w:tcPr>
            <w:tcW w:w="1134" w:type="dxa"/>
            <w:vMerge w:val="continue"/>
            <w:vAlign w:val="center"/>
          </w:tcPr>
          <w:p w14:paraId="5D02600F">
            <w:pPr>
              <w:spacing w:line="300" w:lineRule="exact"/>
              <w:jc w:val="center"/>
              <w:rPr>
                <w:rFonts w:ascii="宋体" w:hAnsi="宋体" w:cs="宋体"/>
                <w:bCs/>
                <w:sz w:val="18"/>
                <w:szCs w:val="18"/>
              </w:rPr>
            </w:pPr>
          </w:p>
        </w:tc>
        <w:tc>
          <w:tcPr>
            <w:tcW w:w="10883" w:type="dxa"/>
            <w:vAlign w:val="center"/>
          </w:tcPr>
          <w:p w14:paraId="778C37AF">
            <w:pPr>
              <w:spacing w:line="300" w:lineRule="exact"/>
              <w:rPr>
                <w:rFonts w:ascii="宋体" w:hAnsi="宋体" w:cs="宋体"/>
                <w:sz w:val="18"/>
                <w:szCs w:val="18"/>
              </w:rPr>
            </w:pPr>
            <w:r>
              <w:rPr>
                <w:rFonts w:ascii="宋体" w:hAnsi="宋体" w:cs="宋体"/>
                <w:sz w:val="18"/>
                <w:szCs w:val="18"/>
              </w:rPr>
              <w:t>22.</w:t>
            </w:r>
            <w:r>
              <w:rPr>
                <w:rFonts w:hint="eastAsia" w:ascii="宋体" w:hAnsi="宋体" w:cs="宋体"/>
                <w:sz w:val="18"/>
                <w:szCs w:val="18"/>
              </w:rPr>
              <w:t>应加强员工之间、员工与家属之间的沟通和关爱，打造“亲情”文化和“家”文化，充分发挥员工家属的提醒、帮助和关爱作用，构筑亲情友爱的安全氛围。</w:t>
            </w:r>
          </w:p>
        </w:tc>
        <w:tc>
          <w:tcPr>
            <w:tcW w:w="750" w:type="dxa"/>
            <w:vAlign w:val="center"/>
          </w:tcPr>
          <w:p w14:paraId="605C25F8">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332493F7">
            <w:pPr>
              <w:spacing w:line="300" w:lineRule="exact"/>
              <w:rPr>
                <w:rFonts w:ascii="宋体" w:hAnsi="宋体"/>
                <w:sz w:val="18"/>
                <w:szCs w:val="18"/>
              </w:rPr>
            </w:pPr>
          </w:p>
        </w:tc>
      </w:tr>
      <w:tr w14:paraId="02AE7A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5B6A9BD1">
            <w:pPr>
              <w:spacing w:line="300" w:lineRule="exact"/>
              <w:jc w:val="center"/>
              <w:rPr>
                <w:rFonts w:ascii="宋体" w:hAnsi="宋体" w:cs="宋体"/>
                <w:sz w:val="18"/>
                <w:szCs w:val="18"/>
              </w:rPr>
            </w:pPr>
            <w:r>
              <w:rPr>
                <w:rFonts w:ascii="宋体" w:hAnsi="宋体" w:cs="宋体"/>
                <w:sz w:val="18"/>
                <w:szCs w:val="18"/>
              </w:rPr>
              <w:t>6</w:t>
            </w:r>
          </w:p>
        </w:tc>
        <w:tc>
          <w:tcPr>
            <w:tcW w:w="591" w:type="dxa"/>
            <w:vMerge w:val="restart"/>
            <w:vAlign w:val="center"/>
          </w:tcPr>
          <w:p w14:paraId="6E19910F">
            <w:pPr>
              <w:spacing w:line="300" w:lineRule="exact"/>
              <w:jc w:val="center"/>
              <w:rPr>
                <w:rFonts w:ascii="宋体" w:hAnsi="宋体" w:cs="宋体"/>
                <w:bCs/>
                <w:kern w:val="0"/>
                <w:sz w:val="18"/>
                <w:szCs w:val="18"/>
              </w:rPr>
            </w:pPr>
            <w:r>
              <w:rPr>
                <w:rFonts w:hint="eastAsia" w:ascii="宋体" w:hAnsi="宋体" w:cs="宋体"/>
                <w:bCs/>
                <w:kern w:val="0"/>
                <w:sz w:val="18"/>
                <w:szCs w:val="18"/>
              </w:rPr>
              <w:t>Ⅱ类</w:t>
            </w:r>
          </w:p>
        </w:tc>
        <w:tc>
          <w:tcPr>
            <w:tcW w:w="1134" w:type="dxa"/>
            <w:vMerge w:val="restart"/>
            <w:vAlign w:val="center"/>
          </w:tcPr>
          <w:p w14:paraId="603BAAC5">
            <w:pPr>
              <w:spacing w:line="300" w:lineRule="exact"/>
              <w:jc w:val="center"/>
              <w:rPr>
                <w:rFonts w:ascii="宋体" w:hAnsi="宋体" w:cs="宋体"/>
                <w:bCs/>
                <w:sz w:val="18"/>
                <w:szCs w:val="18"/>
              </w:rPr>
            </w:pPr>
            <w:r>
              <w:rPr>
                <w:rFonts w:hint="eastAsia" w:ascii="宋体" w:hAnsi="宋体" w:cs="宋体"/>
                <w:bCs/>
                <w:sz w:val="18"/>
                <w:szCs w:val="18"/>
              </w:rPr>
              <w:t>安全行为</w:t>
            </w:r>
          </w:p>
          <w:p w14:paraId="7C2E59B7">
            <w:pPr>
              <w:spacing w:line="300" w:lineRule="exact"/>
              <w:jc w:val="center"/>
              <w:rPr>
                <w:rFonts w:ascii="宋体" w:hAnsi="宋体" w:cs="宋体"/>
                <w:bCs/>
                <w:sz w:val="18"/>
                <w:szCs w:val="18"/>
              </w:rPr>
            </w:pPr>
            <w:r>
              <w:rPr>
                <w:rFonts w:hint="eastAsia" w:ascii="宋体" w:hAnsi="宋体" w:cs="宋体"/>
                <w:bCs/>
                <w:sz w:val="18"/>
                <w:szCs w:val="18"/>
              </w:rPr>
              <w:t>文化</w:t>
            </w:r>
          </w:p>
          <w:p w14:paraId="28DCE739">
            <w:pPr>
              <w:spacing w:line="300" w:lineRule="exact"/>
              <w:jc w:val="center"/>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25</w:t>
            </w:r>
            <w:r>
              <w:rPr>
                <w:rFonts w:hint="eastAsia" w:ascii="宋体" w:hAnsi="宋体" w:cs="宋体"/>
                <w:bCs/>
                <w:sz w:val="18"/>
                <w:szCs w:val="18"/>
              </w:rPr>
              <w:t>分）</w:t>
            </w:r>
          </w:p>
        </w:tc>
        <w:tc>
          <w:tcPr>
            <w:tcW w:w="10883" w:type="dxa"/>
            <w:vAlign w:val="center"/>
          </w:tcPr>
          <w:p w14:paraId="141EF575">
            <w:pPr>
              <w:pStyle w:val="23"/>
              <w:numPr>
                <w:ilvl w:val="0"/>
                <w:numId w:val="0"/>
              </w:numPr>
              <w:rPr>
                <w:rFonts w:hAnsi="宋体" w:cs="宋体"/>
                <w:sz w:val="18"/>
                <w:szCs w:val="18"/>
              </w:rPr>
            </w:pPr>
            <w:r>
              <w:rPr>
                <w:rFonts w:hint="eastAsia" w:hAnsi="宋体" w:cs="宋体"/>
                <w:sz w:val="18"/>
                <w:szCs w:val="18"/>
              </w:rPr>
              <w:t>2</w:t>
            </w:r>
            <w:r>
              <w:rPr>
                <w:rFonts w:hAnsi="宋体" w:cs="宋体"/>
                <w:sz w:val="18"/>
                <w:szCs w:val="18"/>
              </w:rPr>
              <w:t>3</w:t>
            </w:r>
            <w:r>
              <w:rPr>
                <w:rFonts w:hint="eastAsia" w:hAnsi="宋体" w:cs="宋体"/>
                <w:sz w:val="18"/>
                <w:szCs w:val="18"/>
              </w:rPr>
              <w:t>.</w:t>
            </w:r>
            <w:r>
              <w:rPr>
                <w:rFonts w:hint="eastAsia"/>
                <w:sz w:val="18"/>
                <w:szCs w:val="18"/>
              </w:rPr>
              <w:t>应引导员工熟知、理解并遵守执行企业的安全规章制度、岗位安全操作规程</w:t>
            </w:r>
            <w:r>
              <w:rPr>
                <w:rFonts w:hint="eastAsia" w:hAnsi="宋体" w:cs="宋体"/>
                <w:sz w:val="18"/>
                <w:szCs w:val="18"/>
              </w:rPr>
              <w:t>、安全技术标准、安全行为准则和规范，</w:t>
            </w:r>
            <w:r>
              <w:rPr>
                <w:sz w:val="18"/>
                <w:szCs w:val="18"/>
              </w:rPr>
              <w:t>应建立员工基本安全行为规范，应完善安全述职、安全检修和岗位交接等规范，健全安全诚信激励机制和安全行为奖惩机制</w:t>
            </w:r>
            <w:r>
              <w:rPr>
                <w:rFonts w:hint="eastAsia"/>
                <w:sz w:val="18"/>
                <w:szCs w:val="18"/>
              </w:rPr>
              <w:t>。</w:t>
            </w:r>
          </w:p>
        </w:tc>
        <w:tc>
          <w:tcPr>
            <w:tcW w:w="750" w:type="dxa"/>
            <w:vAlign w:val="center"/>
          </w:tcPr>
          <w:p w14:paraId="7686903B">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6ACD1FCA">
            <w:pPr>
              <w:spacing w:line="300" w:lineRule="exact"/>
              <w:rPr>
                <w:rFonts w:ascii="宋体" w:hAnsi="宋体"/>
                <w:sz w:val="18"/>
                <w:szCs w:val="18"/>
              </w:rPr>
            </w:pPr>
          </w:p>
        </w:tc>
      </w:tr>
      <w:tr w14:paraId="6AF4C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FE2D9AB">
            <w:pPr>
              <w:spacing w:line="300" w:lineRule="exact"/>
              <w:jc w:val="center"/>
              <w:rPr>
                <w:rFonts w:ascii="宋体" w:hAnsi="宋体" w:cs="宋体"/>
                <w:sz w:val="18"/>
                <w:szCs w:val="18"/>
              </w:rPr>
            </w:pPr>
          </w:p>
        </w:tc>
        <w:tc>
          <w:tcPr>
            <w:tcW w:w="591" w:type="dxa"/>
            <w:vMerge w:val="continue"/>
            <w:vAlign w:val="center"/>
          </w:tcPr>
          <w:p w14:paraId="58646A35">
            <w:pPr>
              <w:spacing w:line="300" w:lineRule="exact"/>
              <w:jc w:val="center"/>
              <w:rPr>
                <w:rFonts w:ascii="宋体" w:hAnsi="宋体" w:cs="宋体"/>
                <w:bCs/>
                <w:kern w:val="0"/>
                <w:sz w:val="18"/>
                <w:szCs w:val="18"/>
              </w:rPr>
            </w:pPr>
          </w:p>
        </w:tc>
        <w:tc>
          <w:tcPr>
            <w:tcW w:w="1134" w:type="dxa"/>
            <w:vMerge w:val="continue"/>
            <w:vAlign w:val="center"/>
          </w:tcPr>
          <w:p w14:paraId="6CDDB792">
            <w:pPr>
              <w:spacing w:line="300" w:lineRule="exact"/>
              <w:rPr>
                <w:rFonts w:ascii="宋体" w:hAnsi="宋体" w:cs="宋体"/>
                <w:bCs/>
                <w:sz w:val="18"/>
                <w:szCs w:val="18"/>
              </w:rPr>
            </w:pPr>
          </w:p>
        </w:tc>
        <w:tc>
          <w:tcPr>
            <w:tcW w:w="10883" w:type="dxa"/>
            <w:vAlign w:val="center"/>
          </w:tcPr>
          <w:p w14:paraId="4D96EAC5">
            <w:pPr>
              <w:spacing w:line="300" w:lineRule="exact"/>
              <w:rPr>
                <w:rFonts w:ascii="宋体" w:hAnsi="宋体" w:cs="宋体"/>
                <w:sz w:val="18"/>
                <w:szCs w:val="18"/>
              </w:rPr>
            </w:pPr>
            <w:r>
              <w:rPr>
                <w:rFonts w:hint="eastAsia" w:ascii="宋体" w:hAnsi="宋体" w:cs="宋体"/>
                <w:kern w:val="0"/>
                <w:sz w:val="18"/>
                <w:szCs w:val="18"/>
              </w:rPr>
              <w:t>2</w:t>
            </w:r>
            <w:r>
              <w:rPr>
                <w:rFonts w:ascii="宋体" w:hAnsi="宋体" w:cs="宋体"/>
                <w:kern w:val="0"/>
                <w:sz w:val="18"/>
                <w:szCs w:val="18"/>
              </w:rPr>
              <w:t>4</w:t>
            </w:r>
            <w:r>
              <w:rPr>
                <w:rFonts w:hint="eastAsia" w:ascii="宋体" w:hAnsi="宋体" w:cs="宋体"/>
                <w:kern w:val="0"/>
                <w:sz w:val="18"/>
                <w:szCs w:val="18"/>
              </w:rPr>
              <w:t>.</w:t>
            </w:r>
            <w:r>
              <w:rPr>
                <w:rFonts w:hint="eastAsia"/>
                <w:sz w:val="18"/>
                <w:szCs w:val="18"/>
              </w:rPr>
              <w:t>应注重研究和培养高风险作业人员的安全思维模式和安全行为习惯。</w:t>
            </w:r>
          </w:p>
        </w:tc>
        <w:tc>
          <w:tcPr>
            <w:tcW w:w="750" w:type="dxa"/>
            <w:vAlign w:val="center"/>
          </w:tcPr>
          <w:p w14:paraId="79D7882C">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3D3CD739">
            <w:pPr>
              <w:spacing w:line="300" w:lineRule="exact"/>
              <w:rPr>
                <w:rFonts w:ascii="宋体" w:hAnsi="宋体"/>
                <w:sz w:val="18"/>
                <w:szCs w:val="18"/>
              </w:rPr>
            </w:pPr>
          </w:p>
        </w:tc>
      </w:tr>
      <w:tr w14:paraId="7907A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25F0D42">
            <w:pPr>
              <w:spacing w:line="300" w:lineRule="exact"/>
              <w:jc w:val="center"/>
              <w:rPr>
                <w:rFonts w:ascii="宋体" w:hAnsi="宋体" w:cs="宋体"/>
                <w:sz w:val="18"/>
                <w:szCs w:val="18"/>
              </w:rPr>
            </w:pPr>
          </w:p>
        </w:tc>
        <w:tc>
          <w:tcPr>
            <w:tcW w:w="591" w:type="dxa"/>
            <w:vMerge w:val="continue"/>
            <w:vAlign w:val="center"/>
          </w:tcPr>
          <w:p w14:paraId="4425C3A8">
            <w:pPr>
              <w:spacing w:line="300" w:lineRule="exact"/>
              <w:jc w:val="center"/>
              <w:rPr>
                <w:rFonts w:ascii="宋体" w:hAnsi="宋体" w:cs="宋体"/>
                <w:bCs/>
                <w:kern w:val="0"/>
                <w:sz w:val="18"/>
                <w:szCs w:val="18"/>
              </w:rPr>
            </w:pPr>
          </w:p>
        </w:tc>
        <w:tc>
          <w:tcPr>
            <w:tcW w:w="1134" w:type="dxa"/>
            <w:vMerge w:val="continue"/>
            <w:vAlign w:val="center"/>
          </w:tcPr>
          <w:p w14:paraId="6367E20A">
            <w:pPr>
              <w:spacing w:line="300" w:lineRule="exact"/>
              <w:rPr>
                <w:rFonts w:ascii="宋体" w:hAnsi="宋体" w:cs="宋体"/>
                <w:bCs/>
                <w:sz w:val="18"/>
                <w:szCs w:val="18"/>
              </w:rPr>
            </w:pPr>
          </w:p>
        </w:tc>
        <w:tc>
          <w:tcPr>
            <w:tcW w:w="10883" w:type="dxa"/>
            <w:vAlign w:val="center"/>
          </w:tcPr>
          <w:p w14:paraId="77D303A9">
            <w:pPr>
              <w:spacing w:line="300" w:lineRule="exact"/>
              <w:rPr>
                <w:rFonts w:ascii="宋体" w:hAnsi="宋体" w:cs="宋体"/>
                <w:sz w:val="18"/>
                <w:szCs w:val="18"/>
              </w:rPr>
            </w:pPr>
            <w:r>
              <w:rPr>
                <w:rFonts w:hint="eastAsia" w:ascii="宋体" w:hAnsi="宋体" w:cs="宋体"/>
                <w:kern w:val="0"/>
                <w:sz w:val="18"/>
                <w:szCs w:val="18"/>
              </w:rPr>
              <w:t>2</w:t>
            </w:r>
            <w:r>
              <w:rPr>
                <w:rFonts w:ascii="宋体" w:hAnsi="宋体" w:cs="宋体"/>
                <w:kern w:val="0"/>
                <w:sz w:val="18"/>
                <w:szCs w:val="18"/>
              </w:rPr>
              <w:t>5</w:t>
            </w:r>
            <w:r>
              <w:rPr>
                <w:rFonts w:hint="eastAsia" w:ascii="宋体" w:hAnsi="宋体" w:cs="宋体"/>
                <w:kern w:val="0"/>
                <w:sz w:val="18"/>
                <w:szCs w:val="18"/>
              </w:rPr>
              <w:t>.应结合全国“安全生产月”、全国防灾减灾日、消防宣传月等，积极开展特色安全文化活动，做到活动有方案、有记录、有总结。</w:t>
            </w:r>
          </w:p>
        </w:tc>
        <w:tc>
          <w:tcPr>
            <w:tcW w:w="750" w:type="dxa"/>
            <w:vAlign w:val="center"/>
          </w:tcPr>
          <w:p w14:paraId="16BBBF09">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57F7D835">
            <w:pPr>
              <w:spacing w:line="300" w:lineRule="exact"/>
              <w:rPr>
                <w:rFonts w:ascii="宋体" w:hAnsi="宋体"/>
                <w:sz w:val="18"/>
                <w:szCs w:val="18"/>
              </w:rPr>
            </w:pPr>
          </w:p>
        </w:tc>
      </w:tr>
      <w:tr w14:paraId="1FF56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A5BE529">
            <w:pPr>
              <w:spacing w:line="300" w:lineRule="exact"/>
              <w:jc w:val="center"/>
              <w:rPr>
                <w:rFonts w:ascii="宋体" w:hAnsi="宋体" w:cs="宋体"/>
                <w:sz w:val="18"/>
                <w:szCs w:val="18"/>
              </w:rPr>
            </w:pPr>
          </w:p>
        </w:tc>
        <w:tc>
          <w:tcPr>
            <w:tcW w:w="591" w:type="dxa"/>
            <w:vMerge w:val="continue"/>
            <w:vAlign w:val="center"/>
          </w:tcPr>
          <w:p w14:paraId="756B7E2F">
            <w:pPr>
              <w:spacing w:line="300" w:lineRule="exact"/>
              <w:jc w:val="center"/>
              <w:rPr>
                <w:rFonts w:ascii="宋体" w:hAnsi="宋体" w:cs="宋体"/>
                <w:bCs/>
                <w:sz w:val="18"/>
                <w:szCs w:val="18"/>
              </w:rPr>
            </w:pPr>
          </w:p>
        </w:tc>
        <w:tc>
          <w:tcPr>
            <w:tcW w:w="1134" w:type="dxa"/>
            <w:vMerge w:val="continue"/>
            <w:vAlign w:val="center"/>
          </w:tcPr>
          <w:p w14:paraId="30B7082E">
            <w:pPr>
              <w:spacing w:line="300" w:lineRule="exact"/>
              <w:rPr>
                <w:rFonts w:ascii="宋体" w:hAnsi="宋体" w:cs="宋体"/>
                <w:bCs/>
                <w:sz w:val="18"/>
                <w:szCs w:val="18"/>
              </w:rPr>
            </w:pPr>
          </w:p>
        </w:tc>
        <w:tc>
          <w:tcPr>
            <w:tcW w:w="10883" w:type="dxa"/>
            <w:vAlign w:val="center"/>
          </w:tcPr>
          <w:p w14:paraId="170C9AEE">
            <w:pPr>
              <w:spacing w:line="300" w:lineRule="exact"/>
              <w:rPr>
                <w:rFonts w:ascii="宋体" w:hAnsi="宋体" w:cs="宋体"/>
                <w:sz w:val="18"/>
                <w:szCs w:val="18"/>
              </w:rPr>
            </w:pPr>
            <w:r>
              <w:rPr>
                <w:rFonts w:hint="eastAsia" w:ascii="宋体" w:hAnsi="宋体" w:cs="宋体"/>
                <w:kern w:val="0"/>
                <w:sz w:val="18"/>
                <w:szCs w:val="18"/>
              </w:rPr>
              <w:t>2</w:t>
            </w:r>
            <w:r>
              <w:rPr>
                <w:rFonts w:ascii="宋体" w:hAnsi="宋体" w:cs="宋体"/>
                <w:kern w:val="0"/>
                <w:sz w:val="18"/>
                <w:szCs w:val="18"/>
              </w:rPr>
              <w:t>6</w:t>
            </w:r>
            <w:r>
              <w:rPr>
                <w:rFonts w:hint="eastAsia" w:ascii="宋体" w:hAnsi="宋体" w:cs="宋体"/>
                <w:kern w:val="0"/>
                <w:sz w:val="18"/>
                <w:szCs w:val="18"/>
              </w:rPr>
              <w:t>.</w:t>
            </w:r>
            <w:r>
              <w:rPr>
                <w:rFonts w:hint="eastAsia"/>
                <w:sz w:val="18"/>
                <w:szCs w:val="18"/>
              </w:rPr>
              <w:t>应开展安全行为观察，对发现或员工上报的潜在不安全因素，应及时纠偏和处理。领导层应对执行层进行有针对性的安全帮扶，应鼓励各部门、团队之间进行安全管理的相互学习和交叉检查，应推动共产党员、群众安全监督员、青年安全生产示范岗成员等发挥示范带头作用。</w:t>
            </w:r>
          </w:p>
        </w:tc>
        <w:tc>
          <w:tcPr>
            <w:tcW w:w="750" w:type="dxa"/>
            <w:vAlign w:val="center"/>
          </w:tcPr>
          <w:p w14:paraId="00E989EE">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5F1C8F87">
            <w:pPr>
              <w:spacing w:line="300" w:lineRule="exact"/>
              <w:rPr>
                <w:rFonts w:ascii="宋体" w:hAnsi="宋体"/>
                <w:sz w:val="18"/>
                <w:szCs w:val="18"/>
              </w:rPr>
            </w:pPr>
          </w:p>
        </w:tc>
      </w:tr>
      <w:tr w14:paraId="5D0D7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4C5AA58">
            <w:pPr>
              <w:spacing w:line="300" w:lineRule="exact"/>
              <w:jc w:val="center"/>
              <w:rPr>
                <w:rFonts w:ascii="宋体" w:hAnsi="宋体" w:cs="宋体"/>
                <w:sz w:val="18"/>
                <w:szCs w:val="18"/>
              </w:rPr>
            </w:pPr>
          </w:p>
        </w:tc>
        <w:tc>
          <w:tcPr>
            <w:tcW w:w="591" w:type="dxa"/>
            <w:vMerge w:val="continue"/>
            <w:vAlign w:val="center"/>
          </w:tcPr>
          <w:p w14:paraId="1FC0D9F5">
            <w:pPr>
              <w:spacing w:line="300" w:lineRule="exact"/>
              <w:jc w:val="center"/>
              <w:rPr>
                <w:rFonts w:ascii="宋体" w:hAnsi="宋体" w:cs="宋体"/>
                <w:bCs/>
                <w:kern w:val="0"/>
                <w:sz w:val="18"/>
                <w:szCs w:val="18"/>
              </w:rPr>
            </w:pPr>
          </w:p>
        </w:tc>
        <w:tc>
          <w:tcPr>
            <w:tcW w:w="1134" w:type="dxa"/>
            <w:vMerge w:val="continue"/>
            <w:vAlign w:val="center"/>
          </w:tcPr>
          <w:p w14:paraId="29AD21FB">
            <w:pPr>
              <w:spacing w:line="300" w:lineRule="exact"/>
              <w:jc w:val="center"/>
              <w:rPr>
                <w:rFonts w:ascii="宋体" w:hAnsi="宋体" w:cs="宋体"/>
                <w:bCs/>
                <w:sz w:val="18"/>
                <w:szCs w:val="18"/>
              </w:rPr>
            </w:pPr>
          </w:p>
        </w:tc>
        <w:tc>
          <w:tcPr>
            <w:tcW w:w="10883" w:type="dxa"/>
            <w:vAlign w:val="center"/>
          </w:tcPr>
          <w:p w14:paraId="5871BC88">
            <w:pPr>
              <w:pStyle w:val="23"/>
              <w:numPr>
                <w:ilvl w:val="0"/>
                <w:numId w:val="0"/>
              </w:numPr>
              <w:rPr>
                <w:sz w:val="18"/>
                <w:szCs w:val="18"/>
              </w:rPr>
            </w:pPr>
            <w:r>
              <w:rPr>
                <w:rFonts w:hint="eastAsia" w:hAnsi="宋体" w:cs="宋体"/>
                <w:sz w:val="18"/>
                <w:szCs w:val="18"/>
              </w:rPr>
              <w:t>2</w:t>
            </w:r>
            <w:r>
              <w:rPr>
                <w:rFonts w:hAnsi="宋体" w:cs="宋体"/>
                <w:sz w:val="18"/>
                <w:szCs w:val="18"/>
              </w:rPr>
              <w:t>7</w:t>
            </w:r>
            <w:r>
              <w:rPr>
                <w:rFonts w:hint="eastAsia" w:hAnsi="宋体" w:cs="宋体"/>
                <w:sz w:val="18"/>
                <w:szCs w:val="18"/>
              </w:rPr>
              <w:t>.应建立员工安全行为习惯长效培养机制，</w:t>
            </w:r>
            <w:r>
              <w:rPr>
                <w:rFonts w:hint="eastAsia"/>
                <w:sz w:val="18"/>
                <w:szCs w:val="18"/>
              </w:rPr>
              <w:t>促进员工之间、部门之间形成互学、互助、互检、互保等安全工作机制，形成团队自觉的安全行为习惯，企业主要负责人应带头践行安全行为规范和安全承诺，全体员工应牢记并认真履行安全承诺。</w:t>
            </w:r>
          </w:p>
        </w:tc>
        <w:tc>
          <w:tcPr>
            <w:tcW w:w="750" w:type="dxa"/>
            <w:vAlign w:val="center"/>
          </w:tcPr>
          <w:p w14:paraId="05F351F6">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3DF4C777">
            <w:pPr>
              <w:spacing w:line="300" w:lineRule="exact"/>
              <w:rPr>
                <w:rFonts w:ascii="宋体" w:hAnsi="宋体"/>
                <w:sz w:val="18"/>
                <w:szCs w:val="18"/>
              </w:rPr>
            </w:pPr>
          </w:p>
        </w:tc>
      </w:tr>
      <w:tr w14:paraId="24FC47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7C00F16A">
            <w:pPr>
              <w:spacing w:line="300" w:lineRule="exact"/>
              <w:jc w:val="center"/>
              <w:rPr>
                <w:rFonts w:ascii="宋体" w:hAnsi="宋体" w:cs="宋体"/>
                <w:sz w:val="18"/>
                <w:szCs w:val="18"/>
              </w:rPr>
            </w:pPr>
          </w:p>
        </w:tc>
        <w:tc>
          <w:tcPr>
            <w:tcW w:w="591" w:type="dxa"/>
            <w:vMerge w:val="continue"/>
            <w:vAlign w:val="center"/>
          </w:tcPr>
          <w:p w14:paraId="42A8AB2A">
            <w:pPr>
              <w:spacing w:line="300" w:lineRule="exact"/>
              <w:jc w:val="center"/>
              <w:rPr>
                <w:rFonts w:ascii="宋体" w:hAnsi="宋体" w:cs="宋体"/>
                <w:bCs/>
                <w:kern w:val="0"/>
                <w:sz w:val="18"/>
                <w:szCs w:val="18"/>
              </w:rPr>
            </w:pPr>
          </w:p>
        </w:tc>
        <w:tc>
          <w:tcPr>
            <w:tcW w:w="1134" w:type="dxa"/>
            <w:vMerge w:val="continue"/>
            <w:vAlign w:val="center"/>
          </w:tcPr>
          <w:p w14:paraId="2168F940">
            <w:pPr>
              <w:spacing w:line="300" w:lineRule="exact"/>
              <w:jc w:val="center"/>
              <w:rPr>
                <w:rFonts w:ascii="宋体" w:hAnsi="宋体" w:cs="宋体"/>
                <w:bCs/>
                <w:sz w:val="18"/>
                <w:szCs w:val="18"/>
              </w:rPr>
            </w:pPr>
          </w:p>
        </w:tc>
        <w:tc>
          <w:tcPr>
            <w:tcW w:w="10883" w:type="dxa"/>
            <w:vAlign w:val="center"/>
          </w:tcPr>
          <w:p w14:paraId="46C4DEA5">
            <w:pPr>
              <w:pStyle w:val="23"/>
              <w:numPr>
                <w:ilvl w:val="0"/>
                <w:numId w:val="0"/>
              </w:numPr>
              <w:rPr>
                <w:sz w:val="18"/>
                <w:szCs w:val="18"/>
              </w:rPr>
            </w:pPr>
            <w:r>
              <w:rPr>
                <w:rFonts w:hint="eastAsia"/>
                <w:sz w:val="18"/>
                <w:szCs w:val="18"/>
              </w:rPr>
              <w:t>2</w:t>
            </w:r>
            <w:r>
              <w:rPr>
                <w:sz w:val="18"/>
                <w:szCs w:val="18"/>
              </w:rPr>
              <w:t>8</w:t>
            </w:r>
            <w:r>
              <w:rPr>
                <w:rFonts w:hint="eastAsia"/>
                <w:sz w:val="18"/>
                <w:szCs w:val="18"/>
              </w:rPr>
              <w:t>.</w:t>
            </w:r>
            <w:r>
              <w:rPr>
                <w:sz w:val="18"/>
                <w:szCs w:val="18"/>
              </w:rPr>
              <w:t>应</w:t>
            </w:r>
            <w:r>
              <w:rPr>
                <w:rFonts w:hint="eastAsia"/>
                <w:sz w:val="18"/>
                <w:szCs w:val="18"/>
              </w:rPr>
              <w:t>制定员工安全培训和技能提升计划，应有针对性地开展培训教育，培训学时应符合国家、行业有关规定要求，培训档案应完整，应推广体验式安全教育，应组织技能竞赛、实操练兵、应急演练等。</w:t>
            </w:r>
          </w:p>
        </w:tc>
        <w:tc>
          <w:tcPr>
            <w:tcW w:w="750" w:type="dxa"/>
            <w:vAlign w:val="center"/>
          </w:tcPr>
          <w:p w14:paraId="595CB707">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3F8F68C4">
            <w:pPr>
              <w:spacing w:line="300" w:lineRule="exact"/>
              <w:rPr>
                <w:rFonts w:ascii="宋体" w:hAnsi="宋体"/>
                <w:sz w:val="18"/>
                <w:szCs w:val="18"/>
              </w:rPr>
            </w:pPr>
          </w:p>
        </w:tc>
      </w:tr>
      <w:tr w14:paraId="04CC1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70A01BD4">
            <w:pPr>
              <w:spacing w:line="300" w:lineRule="exact"/>
              <w:jc w:val="center"/>
              <w:rPr>
                <w:rFonts w:ascii="宋体" w:hAnsi="宋体" w:cs="宋体"/>
                <w:sz w:val="18"/>
                <w:szCs w:val="18"/>
              </w:rPr>
            </w:pPr>
          </w:p>
        </w:tc>
        <w:tc>
          <w:tcPr>
            <w:tcW w:w="591" w:type="dxa"/>
            <w:vMerge w:val="continue"/>
            <w:vAlign w:val="center"/>
          </w:tcPr>
          <w:p w14:paraId="02B638CC">
            <w:pPr>
              <w:spacing w:line="300" w:lineRule="exact"/>
              <w:jc w:val="center"/>
              <w:rPr>
                <w:rFonts w:ascii="宋体" w:hAnsi="宋体" w:cs="宋体"/>
                <w:bCs/>
                <w:kern w:val="0"/>
                <w:sz w:val="18"/>
                <w:szCs w:val="18"/>
              </w:rPr>
            </w:pPr>
          </w:p>
        </w:tc>
        <w:tc>
          <w:tcPr>
            <w:tcW w:w="1134" w:type="dxa"/>
            <w:vMerge w:val="continue"/>
            <w:vAlign w:val="center"/>
          </w:tcPr>
          <w:p w14:paraId="2D076454">
            <w:pPr>
              <w:spacing w:line="300" w:lineRule="exact"/>
              <w:jc w:val="center"/>
              <w:rPr>
                <w:rFonts w:ascii="宋体" w:hAnsi="宋体" w:cs="宋体"/>
                <w:bCs/>
                <w:sz w:val="18"/>
                <w:szCs w:val="18"/>
              </w:rPr>
            </w:pPr>
          </w:p>
        </w:tc>
        <w:tc>
          <w:tcPr>
            <w:tcW w:w="10883" w:type="dxa"/>
            <w:vAlign w:val="center"/>
          </w:tcPr>
          <w:p w14:paraId="02A0A0DD">
            <w:pPr>
              <w:pStyle w:val="23"/>
              <w:numPr>
                <w:ilvl w:val="0"/>
                <w:numId w:val="0"/>
              </w:numPr>
              <w:rPr>
                <w:sz w:val="18"/>
                <w:szCs w:val="18"/>
              </w:rPr>
            </w:pPr>
            <w:r>
              <w:rPr>
                <w:sz w:val="18"/>
                <w:szCs w:val="18"/>
              </w:rPr>
              <w:t>29</w:t>
            </w:r>
            <w:r>
              <w:rPr>
                <w:rFonts w:hint="eastAsia"/>
                <w:sz w:val="18"/>
                <w:szCs w:val="18"/>
              </w:rPr>
              <w:t>. 应引导、监督员工识别岗位作业风险、排查岗位安全隐患、采取有效防范措施；员工应自觉佩戴和正确使用劳动保护用品，熟练掌握应急处置和自救互救等知识技能。</w:t>
            </w:r>
          </w:p>
        </w:tc>
        <w:tc>
          <w:tcPr>
            <w:tcW w:w="750" w:type="dxa"/>
            <w:vAlign w:val="center"/>
          </w:tcPr>
          <w:p w14:paraId="6C499B1D">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68EF936C">
            <w:pPr>
              <w:spacing w:line="300" w:lineRule="exact"/>
              <w:rPr>
                <w:rFonts w:ascii="宋体" w:hAnsi="宋体"/>
                <w:sz w:val="18"/>
                <w:szCs w:val="18"/>
              </w:rPr>
            </w:pPr>
          </w:p>
        </w:tc>
      </w:tr>
      <w:tr w14:paraId="719F8C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814C2D3">
            <w:pPr>
              <w:spacing w:line="300" w:lineRule="exact"/>
              <w:jc w:val="center"/>
              <w:rPr>
                <w:rFonts w:ascii="宋体" w:hAnsi="宋体" w:cs="宋体"/>
                <w:sz w:val="18"/>
                <w:szCs w:val="18"/>
              </w:rPr>
            </w:pPr>
          </w:p>
        </w:tc>
        <w:tc>
          <w:tcPr>
            <w:tcW w:w="591" w:type="dxa"/>
            <w:vMerge w:val="continue"/>
            <w:vAlign w:val="center"/>
          </w:tcPr>
          <w:p w14:paraId="18DE5549">
            <w:pPr>
              <w:spacing w:line="300" w:lineRule="exact"/>
              <w:jc w:val="center"/>
              <w:rPr>
                <w:rFonts w:ascii="宋体" w:hAnsi="宋体" w:cs="宋体"/>
                <w:bCs/>
                <w:kern w:val="0"/>
                <w:sz w:val="18"/>
                <w:szCs w:val="18"/>
              </w:rPr>
            </w:pPr>
          </w:p>
        </w:tc>
        <w:tc>
          <w:tcPr>
            <w:tcW w:w="1134" w:type="dxa"/>
            <w:vMerge w:val="continue"/>
            <w:vAlign w:val="center"/>
          </w:tcPr>
          <w:p w14:paraId="70EDCDBE">
            <w:pPr>
              <w:spacing w:line="300" w:lineRule="exact"/>
              <w:jc w:val="center"/>
              <w:rPr>
                <w:rFonts w:ascii="宋体" w:hAnsi="宋体" w:cs="宋体"/>
                <w:bCs/>
                <w:sz w:val="18"/>
                <w:szCs w:val="18"/>
              </w:rPr>
            </w:pPr>
          </w:p>
        </w:tc>
        <w:tc>
          <w:tcPr>
            <w:tcW w:w="10883" w:type="dxa"/>
            <w:vAlign w:val="center"/>
          </w:tcPr>
          <w:p w14:paraId="1FF416B1">
            <w:pPr>
              <w:spacing w:line="300" w:lineRule="exact"/>
              <w:rPr>
                <w:rFonts w:ascii="宋体" w:hAnsi="宋体" w:cs="宋体"/>
                <w:kern w:val="0"/>
                <w:sz w:val="18"/>
                <w:szCs w:val="18"/>
              </w:rPr>
            </w:pPr>
            <w:r>
              <w:rPr>
                <w:rFonts w:ascii="宋体" w:hAnsi="宋体" w:cs="宋体"/>
                <w:kern w:val="0"/>
                <w:sz w:val="18"/>
                <w:szCs w:val="18"/>
              </w:rPr>
              <w:t>30</w:t>
            </w:r>
            <w:r>
              <w:rPr>
                <w:rFonts w:hint="eastAsia" w:ascii="宋体" w:hAnsi="宋体" w:cs="宋体"/>
                <w:kern w:val="0"/>
                <w:sz w:val="18"/>
                <w:szCs w:val="18"/>
              </w:rPr>
              <w:t>.对违章行为、无伤害和轻微伤害事故，采取以改进缺陷、吸取经验、教育为主的处理方法。</w:t>
            </w:r>
          </w:p>
        </w:tc>
        <w:tc>
          <w:tcPr>
            <w:tcW w:w="750" w:type="dxa"/>
            <w:vAlign w:val="center"/>
          </w:tcPr>
          <w:p w14:paraId="27DA3983">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22CE20BD">
            <w:pPr>
              <w:spacing w:line="300" w:lineRule="exact"/>
              <w:rPr>
                <w:rFonts w:ascii="宋体" w:hAnsi="宋体"/>
                <w:sz w:val="18"/>
                <w:szCs w:val="18"/>
              </w:rPr>
            </w:pPr>
          </w:p>
        </w:tc>
      </w:tr>
      <w:tr w14:paraId="62BB94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5939ED2">
            <w:pPr>
              <w:spacing w:line="300" w:lineRule="exact"/>
              <w:jc w:val="center"/>
              <w:rPr>
                <w:rFonts w:ascii="宋体" w:hAnsi="宋体" w:cs="宋体"/>
                <w:sz w:val="18"/>
                <w:szCs w:val="18"/>
              </w:rPr>
            </w:pPr>
          </w:p>
        </w:tc>
        <w:tc>
          <w:tcPr>
            <w:tcW w:w="591" w:type="dxa"/>
            <w:vMerge w:val="continue"/>
            <w:vAlign w:val="center"/>
          </w:tcPr>
          <w:p w14:paraId="51FB4D04">
            <w:pPr>
              <w:spacing w:line="300" w:lineRule="exact"/>
              <w:jc w:val="center"/>
              <w:rPr>
                <w:rFonts w:ascii="宋体" w:hAnsi="宋体" w:cs="宋体"/>
                <w:bCs/>
                <w:kern w:val="0"/>
                <w:sz w:val="18"/>
                <w:szCs w:val="18"/>
              </w:rPr>
            </w:pPr>
          </w:p>
        </w:tc>
        <w:tc>
          <w:tcPr>
            <w:tcW w:w="1134" w:type="dxa"/>
            <w:vMerge w:val="continue"/>
            <w:vAlign w:val="center"/>
          </w:tcPr>
          <w:p w14:paraId="287DAD64">
            <w:pPr>
              <w:spacing w:line="300" w:lineRule="exact"/>
              <w:jc w:val="center"/>
              <w:rPr>
                <w:rFonts w:ascii="宋体" w:hAnsi="宋体" w:cs="宋体"/>
                <w:bCs/>
                <w:sz w:val="18"/>
                <w:szCs w:val="18"/>
              </w:rPr>
            </w:pPr>
          </w:p>
        </w:tc>
        <w:tc>
          <w:tcPr>
            <w:tcW w:w="10883" w:type="dxa"/>
            <w:vAlign w:val="center"/>
          </w:tcPr>
          <w:p w14:paraId="7980A827">
            <w:pPr>
              <w:spacing w:line="300" w:lineRule="exact"/>
              <w:rPr>
                <w:rFonts w:ascii="宋体" w:hAnsi="宋体" w:cs="宋体"/>
                <w:kern w:val="0"/>
                <w:sz w:val="18"/>
                <w:szCs w:val="18"/>
              </w:rPr>
            </w:pPr>
            <w:r>
              <w:rPr>
                <w:rFonts w:hint="eastAsia" w:ascii="宋体" w:hAnsi="宋体" w:cs="宋体"/>
                <w:kern w:val="0"/>
                <w:sz w:val="18"/>
                <w:szCs w:val="18"/>
              </w:rPr>
              <w:t>3</w:t>
            </w:r>
            <w:r>
              <w:rPr>
                <w:rFonts w:ascii="宋体" w:hAnsi="宋体" w:cs="宋体"/>
                <w:kern w:val="0"/>
                <w:sz w:val="18"/>
                <w:szCs w:val="18"/>
              </w:rPr>
              <w:t>1</w:t>
            </w:r>
            <w:r>
              <w:rPr>
                <w:rFonts w:hint="eastAsia" w:ascii="宋体" w:hAnsi="宋体" w:cs="宋体"/>
                <w:kern w:val="0"/>
                <w:sz w:val="18"/>
                <w:szCs w:val="18"/>
              </w:rPr>
              <w:t>.应建立员工自觉监督企业生产安全的激励机制，鼓励员工积极查报事故隐患、上报未造成伤害或轻微伤害的安全事件、参与隐患整治，树立安全生产先进典型，发挥示范作用；员工应能够自觉维护安全权利，敢于与生产中的违法违规行为作斗争。</w:t>
            </w:r>
          </w:p>
        </w:tc>
        <w:tc>
          <w:tcPr>
            <w:tcW w:w="750" w:type="dxa"/>
            <w:vAlign w:val="center"/>
          </w:tcPr>
          <w:p w14:paraId="3115BFFE">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5C3194B7">
            <w:pPr>
              <w:spacing w:line="300" w:lineRule="exact"/>
              <w:rPr>
                <w:rFonts w:ascii="宋体" w:hAnsi="宋体"/>
                <w:sz w:val="18"/>
                <w:szCs w:val="18"/>
              </w:rPr>
            </w:pPr>
          </w:p>
        </w:tc>
      </w:tr>
      <w:tr w14:paraId="23C087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17AB139">
            <w:pPr>
              <w:spacing w:line="300" w:lineRule="exact"/>
              <w:jc w:val="center"/>
              <w:rPr>
                <w:rFonts w:ascii="宋体" w:hAnsi="宋体" w:cs="宋体"/>
                <w:sz w:val="18"/>
                <w:szCs w:val="18"/>
              </w:rPr>
            </w:pPr>
          </w:p>
        </w:tc>
        <w:tc>
          <w:tcPr>
            <w:tcW w:w="591" w:type="dxa"/>
            <w:vMerge w:val="continue"/>
            <w:vAlign w:val="center"/>
          </w:tcPr>
          <w:p w14:paraId="1A31482C">
            <w:pPr>
              <w:spacing w:line="300" w:lineRule="exact"/>
              <w:jc w:val="center"/>
              <w:rPr>
                <w:rFonts w:ascii="宋体" w:hAnsi="宋体" w:cs="宋体"/>
                <w:bCs/>
                <w:kern w:val="0"/>
                <w:sz w:val="18"/>
                <w:szCs w:val="18"/>
              </w:rPr>
            </w:pPr>
          </w:p>
        </w:tc>
        <w:tc>
          <w:tcPr>
            <w:tcW w:w="1134" w:type="dxa"/>
            <w:vMerge w:val="continue"/>
            <w:vAlign w:val="center"/>
          </w:tcPr>
          <w:p w14:paraId="52128B6F">
            <w:pPr>
              <w:spacing w:line="300" w:lineRule="exact"/>
              <w:jc w:val="center"/>
              <w:rPr>
                <w:rFonts w:ascii="宋体" w:hAnsi="宋体" w:cs="宋体"/>
                <w:bCs/>
                <w:sz w:val="18"/>
                <w:szCs w:val="18"/>
              </w:rPr>
            </w:pPr>
          </w:p>
        </w:tc>
        <w:tc>
          <w:tcPr>
            <w:tcW w:w="10883" w:type="dxa"/>
            <w:vAlign w:val="center"/>
          </w:tcPr>
          <w:p w14:paraId="5B5215CF">
            <w:pPr>
              <w:pStyle w:val="23"/>
              <w:numPr>
                <w:ilvl w:val="0"/>
                <w:numId w:val="0"/>
              </w:numPr>
              <w:rPr>
                <w:sz w:val="18"/>
                <w:szCs w:val="18"/>
              </w:rPr>
            </w:pPr>
            <w:r>
              <w:rPr>
                <w:sz w:val="18"/>
                <w:szCs w:val="18"/>
              </w:rPr>
              <w:t>32.</w:t>
            </w:r>
            <w:r>
              <w:rPr>
                <w:rFonts w:hint="eastAsia"/>
                <w:sz w:val="18"/>
                <w:szCs w:val="18"/>
              </w:rPr>
              <w:t>应将安全绩效和安全目标作为安全行为文化建设的落脚点，建立完善安全绩效评估和激励机制，不断提升企业安全业绩、安全贡献率、安全影响力，实现企业安全管理的良性循环和持续改进。</w:t>
            </w:r>
          </w:p>
        </w:tc>
        <w:tc>
          <w:tcPr>
            <w:tcW w:w="750" w:type="dxa"/>
            <w:vAlign w:val="center"/>
          </w:tcPr>
          <w:p w14:paraId="0DB2FE6F">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3D988FD8">
            <w:pPr>
              <w:spacing w:line="300" w:lineRule="exact"/>
              <w:rPr>
                <w:rFonts w:ascii="宋体" w:hAnsi="宋体"/>
                <w:sz w:val="18"/>
                <w:szCs w:val="18"/>
              </w:rPr>
            </w:pPr>
          </w:p>
        </w:tc>
      </w:tr>
    </w:tbl>
    <w:p w14:paraId="5F16C820">
      <w:pPr>
        <w:jc w:val="center"/>
      </w:pPr>
      <w:bookmarkStart w:id="15" w:name="_Toc85632744"/>
      <w:bookmarkEnd w:id="15"/>
    </w:p>
    <w:p w14:paraId="7EF46C55">
      <w:pPr>
        <w:pStyle w:val="21"/>
        <w:tabs>
          <w:tab w:val="clear" w:pos="720"/>
        </w:tabs>
        <w:spacing w:line="240" w:lineRule="auto"/>
        <w:ind w:left="0" w:firstLine="0"/>
        <w:jc w:val="both"/>
        <w:rPr>
          <w:color w:val="auto"/>
        </w:rPr>
      </w:pPr>
    </w:p>
    <w:p w14:paraId="3061602C"/>
    <w:p w14:paraId="7B06A825"/>
    <w:p w14:paraId="6C545F91">
      <w:pPr>
        <w:jc w:val="center"/>
        <w:rPr>
          <w:rFonts w:ascii="黑体" w:hAnsi="黑体" w:eastAsia="黑体"/>
        </w:rPr>
      </w:pPr>
    </w:p>
    <w:p w14:paraId="34ED4C4B">
      <w:pPr>
        <w:pStyle w:val="20"/>
        <w:numPr>
          <w:ilvl w:val="0"/>
          <w:numId w:val="0"/>
        </w:numPr>
        <w:spacing w:before="0" w:beforeLines="0" w:after="0" w:afterLines="0"/>
      </w:pPr>
      <w:r>
        <w:rPr>
          <w:rFonts w:hint="eastAsia"/>
        </w:rPr>
        <w:t>表A.1  企业安全文化建设与星级评价评分表（续）</w:t>
      </w:r>
    </w:p>
    <w:tbl>
      <w:tblPr>
        <w:tblStyle w:val="14"/>
        <w:tblW w:w="1469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91"/>
        <w:gridCol w:w="1110"/>
        <w:gridCol w:w="10907"/>
        <w:gridCol w:w="750"/>
        <w:gridCol w:w="660"/>
      </w:tblGrid>
      <w:tr w14:paraId="26A05C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8" w:space="0"/>
              <w:bottom w:val="single" w:color="auto" w:sz="8" w:space="0"/>
            </w:tcBorders>
            <w:vAlign w:val="center"/>
          </w:tcPr>
          <w:p w14:paraId="0B533153">
            <w:pPr>
              <w:spacing w:line="300" w:lineRule="exact"/>
              <w:jc w:val="center"/>
              <w:rPr>
                <w:rFonts w:ascii="宋体" w:hAnsi="宋体"/>
                <w:b/>
                <w:sz w:val="18"/>
                <w:szCs w:val="18"/>
              </w:rPr>
            </w:pPr>
            <w:r>
              <w:rPr>
                <w:rFonts w:hint="eastAsia" w:ascii="宋体" w:hAnsi="宋体" w:cs="宋体"/>
                <w:b/>
                <w:kern w:val="0"/>
                <w:sz w:val="18"/>
                <w:szCs w:val="18"/>
              </w:rPr>
              <w:t>序号</w:t>
            </w:r>
          </w:p>
        </w:tc>
        <w:tc>
          <w:tcPr>
            <w:tcW w:w="591" w:type="dxa"/>
            <w:tcBorders>
              <w:top w:val="single" w:color="auto" w:sz="8" w:space="0"/>
              <w:bottom w:val="single" w:color="auto" w:sz="8" w:space="0"/>
            </w:tcBorders>
          </w:tcPr>
          <w:p w14:paraId="75DBECE2">
            <w:pPr>
              <w:spacing w:line="300" w:lineRule="exact"/>
              <w:jc w:val="center"/>
              <w:rPr>
                <w:rFonts w:ascii="宋体" w:hAnsi="宋体" w:cs="宋体"/>
                <w:b/>
                <w:kern w:val="0"/>
                <w:sz w:val="18"/>
                <w:szCs w:val="18"/>
              </w:rPr>
            </w:pPr>
            <w:r>
              <w:rPr>
                <w:rFonts w:hint="eastAsia" w:ascii="宋体" w:hAnsi="宋体" w:cs="宋体"/>
                <w:b/>
                <w:kern w:val="0"/>
                <w:sz w:val="18"/>
                <w:szCs w:val="18"/>
              </w:rPr>
              <w:t>指标类别</w:t>
            </w:r>
          </w:p>
        </w:tc>
        <w:tc>
          <w:tcPr>
            <w:tcW w:w="1110" w:type="dxa"/>
            <w:tcBorders>
              <w:top w:val="single" w:color="auto" w:sz="8" w:space="0"/>
              <w:bottom w:val="single" w:color="auto" w:sz="8" w:space="0"/>
            </w:tcBorders>
            <w:vAlign w:val="center"/>
          </w:tcPr>
          <w:p w14:paraId="1717DFEF">
            <w:pPr>
              <w:spacing w:line="300" w:lineRule="exact"/>
              <w:jc w:val="center"/>
              <w:rPr>
                <w:rFonts w:ascii="宋体" w:hAnsi="宋体"/>
                <w:b/>
                <w:sz w:val="18"/>
                <w:szCs w:val="18"/>
              </w:rPr>
            </w:pPr>
            <w:r>
              <w:rPr>
                <w:rFonts w:hint="eastAsia" w:ascii="宋体" w:hAnsi="宋体" w:cs="宋体"/>
                <w:b/>
                <w:kern w:val="0"/>
                <w:sz w:val="18"/>
                <w:szCs w:val="18"/>
              </w:rPr>
              <w:t>一级指标</w:t>
            </w:r>
          </w:p>
        </w:tc>
        <w:tc>
          <w:tcPr>
            <w:tcW w:w="10907" w:type="dxa"/>
            <w:tcBorders>
              <w:top w:val="single" w:color="auto" w:sz="8" w:space="0"/>
              <w:bottom w:val="single" w:color="auto" w:sz="8" w:space="0"/>
            </w:tcBorders>
            <w:vAlign w:val="center"/>
          </w:tcPr>
          <w:p w14:paraId="3D7AF387">
            <w:pPr>
              <w:spacing w:line="300" w:lineRule="exact"/>
              <w:jc w:val="center"/>
              <w:rPr>
                <w:rFonts w:ascii="宋体" w:hAnsi="宋体"/>
                <w:b/>
                <w:sz w:val="18"/>
                <w:szCs w:val="18"/>
              </w:rPr>
            </w:pPr>
            <w:r>
              <w:rPr>
                <w:rFonts w:hint="eastAsia" w:ascii="宋体" w:hAnsi="宋体" w:cs="宋体"/>
                <w:b/>
                <w:kern w:val="0"/>
                <w:sz w:val="18"/>
                <w:szCs w:val="18"/>
              </w:rPr>
              <w:t>二级指标</w:t>
            </w:r>
          </w:p>
        </w:tc>
        <w:tc>
          <w:tcPr>
            <w:tcW w:w="750" w:type="dxa"/>
            <w:tcBorders>
              <w:top w:val="single" w:color="auto" w:sz="8" w:space="0"/>
              <w:bottom w:val="single" w:color="auto" w:sz="8" w:space="0"/>
            </w:tcBorders>
            <w:vAlign w:val="center"/>
          </w:tcPr>
          <w:p w14:paraId="5737D12C">
            <w:pPr>
              <w:spacing w:line="300" w:lineRule="exact"/>
              <w:jc w:val="center"/>
              <w:rPr>
                <w:rFonts w:ascii="宋体" w:hAnsi="宋体"/>
                <w:b/>
                <w:sz w:val="18"/>
                <w:szCs w:val="18"/>
              </w:rPr>
            </w:pPr>
            <w:r>
              <w:rPr>
                <w:rFonts w:hint="eastAsia" w:ascii="宋体" w:hAnsi="宋体" w:cs="宋体"/>
                <w:b/>
                <w:kern w:val="0"/>
                <w:sz w:val="18"/>
                <w:szCs w:val="18"/>
              </w:rPr>
              <w:t>满分分值</w:t>
            </w:r>
          </w:p>
        </w:tc>
        <w:tc>
          <w:tcPr>
            <w:tcW w:w="660" w:type="dxa"/>
            <w:tcBorders>
              <w:top w:val="single" w:color="auto" w:sz="8" w:space="0"/>
              <w:bottom w:val="single" w:color="auto" w:sz="8" w:space="0"/>
            </w:tcBorders>
            <w:vAlign w:val="center"/>
          </w:tcPr>
          <w:p w14:paraId="4C1F3105">
            <w:pPr>
              <w:spacing w:line="300" w:lineRule="exact"/>
              <w:jc w:val="center"/>
              <w:rPr>
                <w:rFonts w:ascii="宋体" w:hAnsi="宋体"/>
                <w:b/>
                <w:sz w:val="18"/>
                <w:szCs w:val="18"/>
              </w:rPr>
            </w:pPr>
            <w:r>
              <w:rPr>
                <w:rFonts w:hint="eastAsia" w:ascii="宋体" w:hAnsi="宋体" w:cs="宋体"/>
                <w:b/>
                <w:kern w:val="0"/>
                <w:sz w:val="18"/>
                <w:szCs w:val="18"/>
              </w:rPr>
              <w:t>评价分值</w:t>
            </w:r>
          </w:p>
        </w:tc>
      </w:tr>
      <w:tr w14:paraId="2D0811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26C27FBA">
            <w:pPr>
              <w:spacing w:line="300" w:lineRule="exact"/>
              <w:jc w:val="center"/>
              <w:rPr>
                <w:rFonts w:ascii="宋体" w:hAnsi="宋体" w:cs="宋体"/>
                <w:sz w:val="18"/>
                <w:szCs w:val="18"/>
              </w:rPr>
            </w:pPr>
            <w:r>
              <w:rPr>
                <w:rFonts w:ascii="宋体" w:hAnsi="宋体" w:cs="宋体"/>
                <w:sz w:val="18"/>
                <w:szCs w:val="18"/>
              </w:rPr>
              <w:t>7</w:t>
            </w:r>
          </w:p>
        </w:tc>
        <w:tc>
          <w:tcPr>
            <w:tcW w:w="591" w:type="dxa"/>
            <w:vMerge w:val="restart"/>
            <w:vAlign w:val="center"/>
          </w:tcPr>
          <w:p w14:paraId="20B48A56">
            <w:pPr>
              <w:spacing w:line="300" w:lineRule="exact"/>
              <w:jc w:val="center"/>
              <w:rPr>
                <w:rFonts w:ascii="宋体" w:hAnsi="宋体" w:cs="宋体"/>
                <w:bCs/>
                <w:sz w:val="18"/>
                <w:szCs w:val="18"/>
              </w:rPr>
            </w:pPr>
            <w:r>
              <w:rPr>
                <w:rFonts w:hint="eastAsia" w:ascii="宋体" w:hAnsi="宋体" w:cs="宋体"/>
                <w:bCs/>
                <w:kern w:val="0"/>
                <w:sz w:val="18"/>
                <w:szCs w:val="18"/>
              </w:rPr>
              <w:t>Ⅱ类</w:t>
            </w:r>
          </w:p>
        </w:tc>
        <w:tc>
          <w:tcPr>
            <w:tcW w:w="1110" w:type="dxa"/>
            <w:vMerge w:val="restart"/>
            <w:vAlign w:val="center"/>
          </w:tcPr>
          <w:p w14:paraId="417D1EED">
            <w:pPr>
              <w:spacing w:line="300" w:lineRule="exact"/>
              <w:jc w:val="center"/>
              <w:rPr>
                <w:rFonts w:ascii="宋体" w:hAnsi="宋体" w:cs="宋体"/>
                <w:bCs/>
                <w:sz w:val="18"/>
                <w:szCs w:val="18"/>
              </w:rPr>
            </w:pPr>
            <w:r>
              <w:rPr>
                <w:rFonts w:hint="eastAsia" w:ascii="宋体" w:hAnsi="宋体" w:cs="宋体"/>
                <w:bCs/>
                <w:sz w:val="18"/>
                <w:szCs w:val="18"/>
              </w:rPr>
              <w:t>应急能力建设</w:t>
            </w:r>
          </w:p>
          <w:p w14:paraId="3C2771B6">
            <w:pPr>
              <w:spacing w:line="300" w:lineRule="exact"/>
              <w:rPr>
                <w:rFonts w:ascii="宋体" w:hAnsi="宋体" w:cs="宋体"/>
                <w:sz w:val="18"/>
                <w:szCs w:val="18"/>
              </w:rPr>
            </w:pPr>
            <w:r>
              <w:rPr>
                <w:rFonts w:hint="eastAsia" w:ascii="宋体" w:hAnsi="宋体" w:cs="宋体"/>
                <w:bCs/>
                <w:sz w:val="18"/>
                <w:szCs w:val="18"/>
              </w:rPr>
              <w:t>（</w:t>
            </w:r>
            <w:r>
              <w:rPr>
                <w:rFonts w:ascii="宋体" w:hAnsi="宋体" w:cs="宋体"/>
                <w:bCs/>
                <w:sz w:val="18"/>
                <w:szCs w:val="18"/>
              </w:rPr>
              <w:t>12.5</w:t>
            </w:r>
            <w:r>
              <w:rPr>
                <w:rFonts w:hint="eastAsia" w:ascii="宋体" w:hAnsi="宋体" w:cs="宋体"/>
                <w:bCs/>
                <w:sz w:val="18"/>
                <w:szCs w:val="18"/>
              </w:rPr>
              <w:t>分）</w:t>
            </w:r>
          </w:p>
        </w:tc>
        <w:tc>
          <w:tcPr>
            <w:tcW w:w="10907" w:type="dxa"/>
          </w:tcPr>
          <w:p w14:paraId="5B01DFD9">
            <w:pPr>
              <w:spacing w:line="300" w:lineRule="exact"/>
              <w:rPr>
                <w:rFonts w:ascii="宋体" w:hAnsi="宋体"/>
                <w:sz w:val="18"/>
                <w:szCs w:val="18"/>
              </w:rPr>
            </w:pPr>
            <w:r>
              <w:rPr>
                <w:rFonts w:hint="eastAsia" w:ascii="宋体" w:hAnsi="宋体" w:cs="宋体"/>
                <w:sz w:val="18"/>
                <w:szCs w:val="18"/>
              </w:rPr>
              <w:t>3</w:t>
            </w:r>
            <w:r>
              <w:rPr>
                <w:rFonts w:ascii="宋体" w:hAnsi="宋体" w:cs="宋体"/>
                <w:sz w:val="18"/>
                <w:szCs w:val="18"/>
              </w:rPr>
              <w:t>3</w:t>
            </w:r>
            <w:r>
              <w:rPr>
                <w:rFonts w:hint="eastAsia" w:ascii="宋体" w:hAnsi="宋体" w:cs="宋体"/>
                <w:sz w:val="18"/>
                <w:szCs w:val="18"/>
              </w:rPr>
              <w:t>.应按照法规、标准要求建立应急预案体系，结合企业实际建立专职或兼职应急救援队伍。</w:t>
            </w:r>
          </w:p>
        </w:tc>
        <w:tc>
          <w:tcPr>
            <w:tcW w:w="750" w:type="dxa"/>
            <w:vAlign w:val="center"/>
          </w:tcPr>
          <w:p w14:paraId="721B2947">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6FEC3B09">
            <w:pPr>
              <w:spacing w:line="300" w:lineRule="exact"/>
              <w:rPr>
                <w:rFonts w:ascii="宋体" w:hAnsi="宋体"/>
                <w:sz w:val="18"/>
                <w:szCs w:val="18"/>
              </w:rPr>
            </w:pPr>
          </w:p>
        </w:tc>
      </w:tr>
      <w:tr w14:paraId="0B9138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52156B8">
            <w:pPr>
              <w:spacing w:line="300" w:lineRule="exact"/>
              <w:jc w:val="center"/>
              <w:rPr>
                <w:rFonts w:ascii="宋体" w:hAnsi="宋体"/>
                <w:sz w:val="18"/>
                <w:szCs w:val="18"/>
              </w:rPr>
            </w:pPr>
          </w:p>
        </w:tc>
        <w:tc>
          <w:tcPr>
            <w:tcW w:w="591" w:type="dxa"/>
            <w:vMerge w:val="continue"/>
            <w:vAlign w:val="center"/>
          </w:tcPr>
          <w:p w14:paraId="75849C4A">
            <w:pPr>
              <w:spacing w:line="300" w:lineRule="exact"/>
              <w:jc w:val="center"/>
              <w:rPr>
                <w:rFonts w:ascii="宋体" w:hAnsi="宋体" w:cs="宋体"/>
                <w:bCs/>
                <w:sz w:val="18"/>
                <w:szCs w:val="18"/>
              </w:rPr>
            </w:pPr>
          </w:p>
        </w:tc>
        <w:tc>
          <w:tcPr>
            <w:tcW w:w="1110" w:type="dxa"/>
            <w:vMerge w:val="continue"/>
            <w:vAlign w:val="center"/>
          </w:tcPr>
          <w:p w14:paraId="5896AAF4">
            <w:pPr>
              <w:spacing w:line="300" w:lineRule="exact"/>
              <w:jc w:val="center"/>
              <w:rPr>
                <w:rFonts w:ascii="宋体" w:hAnsi="宋体" w:cs="宋体"/>
                <w:bCs/>
                <w:sz w:val="18"/>
                <w:szCs w:val="18"/>
              </w:rPr>
            </w:pPr>
          </w:p>
        </w:tc>
        <w:tc>
          <w:tcPr>
            <w:tcW w:w="10907" w:type="dxa"/>
          </w:tcPr>
          <w:p w14:paraId="74E77848">
            <w:pPr>
              <w:spacing w:line="300" w:lineRule="exact"/>
              <w:rPr>
                <w:rFonts w:ascii="宋体" w:hAnsi="宋体"/>
                <w:sz w:val="18"/>
                <w:szCs w:val="18"/>
              </w:rPr>
            </w:pPr>
            <w:r>
              <w:rPr>
                <w:rFonts w:hint="eastAsia" w:ascii="宋体" w:hAnsi="宋体" w:cs="宋体"/>
                <w:sz w:val="18"/>
                <w:szCs w:val="18"/>
              </w:rPr>
              <w:t>3</w:t>
            </w:r>
            <w:r>
              <w:rPr>
                <w:rFonts w:ascii="宋体" w:hAnsi="宋体" w:cs="宋体"/>
                <w:sz w:val="18"/>
                <w:szCs w:val="18"/>
              </w:rPr>
              <w:t>4</w:t>
            </w:r>
            <w:r>
              <w:rPr>
                <w:rFonts w:hint="eastAsia" w:ascii="宋体" w:hAnsi="宋体" w:cs="宋体"/>
                <w:sz w:val="18"/>
                <w:szCs w:val="18"/>
              </w:rPr>
              <w:t>.应</w:t>
            </w:r>
            <w:r>
              <w:rPr>
                <w:rFonts w:hint="eastAsia" w:ascii="宋体" w:hAnsi="宋体" w:cs="宋体"/>
                <w:kern w:val="0"/>
                <w:sz w:val="18"/>
                <w:szCs w:val="18"/>
              </w:rPr>
              <w:t>定期开展全员应急教育培训</w:t>
            </w:r>
            <w:r>
              <w:rPr>
                <w:rFonts w:hint="eastAsia" w:ascii="宋体" w:hAnsi="宋体" w:cs="宋体"/>
                <w:sz w:val="18"/>
                <w:szCs w:val="18"/>
              </w:rPr>
              <w:t>，增强从业人员安全意识，提升应急处置能力。</w:t>
            </w:r>
          </w:p>
        </w:tc>
        <w:tc>
          <w:tcPr>
            <w:tcW w:w="750" w:type="dxa"/>
            <w:vAlign w:val="center"/>
          </w:tcPr>
          <w:p w14:paraId="667D838D">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555F8917">
            <w:pPr>
              <w:spacing w:line="300" w:lineRule="exact"/>
              <w:rPr>
                <w:rFonts w:ascii="宋体" w:hAnsi="宋体"/>
                <w:sz w:val="18"/>
                <w:szCs w:val="18"/>
              </w:rPr>
            </w:pPr>
          </w:p>
        </w:tc>
      </w:tr>
      <w:tr w14:paraId="709AF1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5514273">
            <w:pPr>
              <w:spacing w:line="300" w:lineRule="exact"/>
              <w:jc w:val="center"/>
              <w:rPr>
                <w:rFonts w:ascii="宋体" w:hAnsi="宋体"/>
                <w:sz w:val="18"/>
                <w:szCs w:val="18"/>
              </w:rPr>
            </w:pPr>
          </w:p>
        </w:tc>
        <w:tc>
          <w:tcPr>
            <w:tcW w:w="591" w:type="dxa"/>
            <w:vMerge w:val="continue"/>
            <w:vAlign w:val="center"/>
          </w:tcPr>
          <w:p w14:paraId="32A5E3F9">
            <w:pPr>
              <w:spacing w:line="300" w:lineRule="exact"/>
              <w:jc w:val="center"/>
              <w:rPr>
                <w:rFonts w:ascii="宋体" w:hAnsi="宋体" w:cs="宋体"/>
                <w:bCs/>
                <w:sz w:val="18"/>
                <w:szCs w:val="18"/>
              </w:rPr>
            </w:pPr>
          </w:p>
        </w:tc>
        <w:tc>
          <w:tcPr>
            <w:tcW w:w="1110" w:type="dxa"/>
            <w:vMerge w:val="continue"/>
            <w:vAlign w:val="center"/>
          </w:tcPr>
          <w:p w14:paraId="24C83DC6">
            <w:pPr>
              <w:spacing w:line="300" w:lineRule="exact"/>
              <w:jc w:val="center"/>
              <w:rPr>
                <w:rFonts w:ascii="宋体" w:hAnsi="宋体" w:cs="宋体"/>
                <w:bCs/>
                <w:sz w:val="18"/>
                <w:szCs w:val="18"/>
              </w:rPr>
            </w:pPr>
          </w:p>
        </w:tc>
        <w:tc>
          <w:tcPr>
            <w:tcW w:w="10907" w:type="dxa"/>
          </w:tcPr>
          <w:p w14:paraId="6E3FD04E">
            <w:pPr>
              <w:spacing w:line="300" w:lineRule="exact"/>
              <w:rPr>
                <w:rFonts w:ascii="宋体" w:hAnsi="宋体"/>
                <w:sz w:val="18"/>
                <w:szCs w:val="18"/>
              </w:rPr>
            </w:pPr>
            <w:r>
              <w:rPr>
                <w:rFonts w:hint="eastAsia" w:ascii="宋体" w:hAnsi="宋体" w:cs="宋体"/>
                <w:sz w:val="18"/>
                <w:szCs w:val="18"/>
              </w:rPr>
              <w:t>3</w:t>
            </w:r>
            <w:r>
              <w:rPr>
                <w:rFonts w:ascii="宋体" w:hAnsi="宋体" w:cs="宋体"/>
                <w:sz w:val="18"/>
                <w:szCs w:val="18"/>
              </w:rPr>
              <w:t>5</w:t>
            </w:r>
            <w:r>
              <w:rPr>
                <w:rFonts w:hint="eastAsia" w:ascii="宋体" w:hAnsi="宋体" w:cs="宋体"/>
                <w:sz w:val="18"/>
                <w:szCs w:val="18"/>
              </w:rPr>
              <w:t>.应定期组织应急预案演练并</w:t>
            </w:r>
            <w:r>
              <w:rPr>
                <w:rFonts w:hint="eastAsia" w:ascii="宋体" w:hAnsi="宋体" w:cs="宋体"/>
                <w:kern w:val="0"/>
                <w:sz w:val="18"/>
                <w:szCs w:val="18"/>
              </w:rPr>
              <w:t>开展演练评估工作，对演练中发现的问题和不足及时修订完善应急预案。</w:t>
            </w:r>
          </w:p>
        </w:tc>
        <w:tc>
          <w:tcPr>
            <w:tcW w:w="750" w:type="dxa"/>
            <w:vAlign w:val="center"/>
          </w:tcPr>
          <w:p w14:paraId="0D2C2CE7">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3733971A">
            <w:pPr>
              <w:spacing w:line="300" w:lineRule="exact"/>
              <w:rPr>
                <w:rFonts w:ascii="宋体" w:hAnsi="宋体"/>
                <w:sz w:val="18"/>
                <w:szCs w:val="18"/>
              </w:rPr>
            </w:pPr>
          </w:p>
        </w:tc>
      </w:tr>
      <w:tr w14:paraId="1D4DB4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E5C3EE9">
            <w:pPr>
              <w:spacing w:line="300" w:lineRule="exact"/>
              <w:jc w:val="center"/>
              <w:rPr>
                <w:rFonts w:ascii="宋体" w:hAnsi="宋体"/>
                <w:sz w:val="18"/>
                <w:szCs w:val="18"/>
              </w:rPr>
            </w:pPr>
          </w:p>
        </w:tc>
        <w:tc>
          <w:tcPr>
            <w:tcW w:w="591" w:type="dxa"/>
            <w:vMerge w:val="continue"/>
            <w:vAlign w:val="center"/>
          </w:tcPr>
          <w:p w14:paraId="371ADA59">
            <w:pPr>
              <w:spacing w:line="300" w:lineRule="exact"/>
              <w:jc w:val="center"/>
              <w:rPr>
                <w:rFonts w:ascii="宋体" w:hAnsi="宋体" w:cs="宋体"/>
                <w:bCs/>
                <w:sz w:val="18"/>
                <w:szCs w:val="18"/>
              </w:rPr>
            </w:pPr>
          </w:p>
        </w:tc>
        <w:tc>
          <w:tcPr>
            <w:tcW w:w="1110" w:type="dxa"/>
            <w:vMerge w:val="continue"/>
            <w:vAlign w:val="center"/>
          </w:tcPr>
          <w:p w14:paraId="45749AB8">
            <w:pPr>
              <w:spacing w:line="300" w:lineRule="exact"/>
              <w:jc w:val="center"/>
              <w:rPr>
                <w:rFonts w:ascii="宋体" w:hAnsi="宋体" w:cs="宋体"/>
                <w:bCs/>
                <w:sz w:val="18"/>
                <w:szCs w:val="18"/>
              </w:rPr>
            </w:pPr>
          </w:p>
        </w:tc>
        <w:tc>
          <w:tcPr>
            <w:tcW w:w="10907" w:type="dxa"/>
          </w:tcPr>
          <w:p w14:paraId="194DDBE6">
            <w:pPr>
              <w:spacing w:line="300" w:lineRule="exact"/>
              <w:rPr>
                <w:rFonts w:ascii="宋体" w:hAnsi="宋体"/>
                <w:sz w:val="18"/>
                <w:szCs w:val="18"/>
              </w:rPr>
            </w:pPr>
            <w:r>
              <w:rPr>
                <w:rFonts w:hint="eastAsia" w:ascii="宋体" w:hAnsi="宋体" w:cs="宋体"/>
                <w:kern w:val="0"/>
                <w:sz w:val="18"/>
                <w:szCs w:val="18"/>
              </w:rPr>
              <w:t>3</w:t>
            </w:r>
            <w:r>
              <w:rPr>
                <w:rFonts w:ascii="宋体" w:hAnsi="宋体" w:cs="宋体"/>
                <w:kern w:val="0"/>
                <w:sz w:val="18"/>
                <w:szCs w:val="18"/>
              </w:rPr>
              <w:t>6</w:t>
            </w:r>
            <w:r>
              <w:rPr>
                <w:rFonts w:hint="eastAsia" w:ascii="宋体" w:hAnsi="宋体" w:cs="宋体"/>
                <w:kern w:val="0"/>
                <w:sz w:val="18"/>
                <w:szCs w:val="18"/>
              </w:rPr>
              <w:t>.应定期检测、维护、更新应急救援设备、设施，使其处于良好状态，确保能正常使用。</w:t>
            </w:r>
          </w:p>
        </w:tc>
        <w:tc>
          <w:tcPr>
            <w:tcW w:w="750" w:type="dxa"/>
            <w:vAlign w:val="center"/>
          </w:tcPr>
          <w:p w14:paraId="50DF609F">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5FB1DCEE">
            <w:pPr>
              <w:spacing w:line="300" w:lineRule="exact"/>
              <w:rPr>
                <w:rFonts w:ascii="宋体" w:hAnsi="宋体"/>
                <w:sz w:val="18"/>
                <w:szCs w:val="18"/>
              </w:rPr>
            </w:pPr>
          </w:p>
        </w:tc>
      </w:tr>
      <w:tr w14:paraId="4ECCD7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F27A734">
            <w:pPr>
              <w:spacing w:line="300" w:lineRule="exact"/>
              <w:jc w:val="center"/>
              <w:rPr>
                <w:rFonts w:ascii="宋体" w:hAnsi="宋体"/>
                <w:sz w:val="18"/>
                <w:szCs w:val="18"/>
              </w:rPr>
            </w:pPr>
          </w:p>
        </w:tc>
        <w:tc>
          <w:tcPr>
            <w:tcW w:w="591" w:type="dxa"/>
            <w:vMerge w:val="continue"/>
            <w:vAlign w:val="center"/>
          </w:tcPr>
          <w:p w14:paraId="42B039E3">
            <w:pPr>
              <w:spacing w:line="300" w:lineRule="exact"/>
              <w:jc w:val="center"/>
              <w:rPr>
                <w:rFonts w:ascii="宋体" w:hAnsi="宋体" w:cs="宋体"/>
                <w:bCs/>
                <w:sz w:val="18"/>
                <w:szCs w:val="18"/>
              </w:rPr>
            </w:pPr>
          </w:p>
        </w:tc>
        <w:tc>
          <w:tcPr>
            <w:tcW w:w="1110" w:type="dxa"/>
            <w:vMerge w:val="continue"/>
            <w:vAlign w:val="center"/>
          </w:tcPr>
          <w:p w14:paraId="69A31BC9">
            <w:pPr>
              <w:spacing w:line="300" w:lineRule="exact"/>
              <w:jc w:val="center"/>
              <w:rPr>
                <w:rFonts w:ascii="宋体" w:hAnsi="宋体" w:cs="宋体"/>
                <w:bCs/>
                <w:sz w:val="18"/>
                <w:szCs w:val="18"/>
              </w:rPr>
            </w:pPr>
          </w:p>
        </w:tc>
        <w:tc>
          <w:tcPr>
            <w:tcW w:w="10907" w:type="dxa"/>
          </w:tcPr>
          <w:p w14:paraId="3DE441FD">
            <w:pPr>
              <w:spacing w:line="300" w:lineRule="exact"/>
              <w:rPr>
                <w:rFonts w:ascii="宋体" w:hAnsi="宋体"/>
                <w:sz w:val="18"/>
                <w:szCs w:val="18"/>
              </w:rPr>
            </w:pPr>
            <w:r>
              <w:rPr>
                <w:rFonts w:hint="eastAsia" w:ascii="宋体" w:hAnsi="宋体" w:cs="宋体"/>
                <w:kern w:val="0"/>
                <w:sz w:val="18"/>
                <w:szCs w:val="18"/>
              </w:rPr>
              <w:t>3</w:t>
            </w:r>
            <w:r>
              <w:rPr>
                <w:rFonts w:ascii="宋体" w:hAnsi="宋体" w:cs="宋体"/>
                <w:kern w:val="0"/>
                <w:sz w:val="18"/>
                <w:szCs w:val="18"/>
              </w:rPr>
              <w:t>7</w:t>
            </w:r>
            <w:r>
              <w:rPr>
                <w:rFonts w:hint="eastAsia" w:ascii="宋体" w:hAnsi="宋体" w:cs="宋体"/>
                <w:kern w:val="0"/>
                <w:sz w:val="18"/>
                <w:szCs w:val="18"/>
              </w:rPr>
              <w:t>.应定期开展风险评估和危害辨识，并对每次突发事件的应急处置过程进行调查评估；对存在的问题，制定整改计划，限期整改，形成闭环管理。</w:t>
            </w:r>
          </w:p>
        </w:tc>
        <w:tc>
          <w:tcPr>
            <w:tcW w:w="750" w:type="dxa"/>
            <w:vAlign w:val="center"/>
          </w:tcPr>
          <w:p w14:paraId="7608C153">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34E531AE">
            <w:pPr>
              <w:spacing w:line="300" w:lineRule="exact"/>
              <w:rPr>
                <w:rFonts w:ascii="宋体" w:hAnsi="宋体"/>
                <w:sz w:val="18"/>
                <w:szCs w:val="18"/>
              </w:rPr>
            </w:pPr>
          </w:p>
        </w:tc>
      </w:tr>
      <w:tr w14:paraId="4C968A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7135E24B">
            <w:pPr>
              <w:spacing w:line="300" w:lineRule="exact"/>
              <w:jc w:val="center"/>
              <w:rPr>
                <w:rFonts w:ascii="宋体" w:hAnsi="宋体"/>
                <w:sz w:val="18"/>
                <w:szCs w:val="18"/>
              </w:rPr>
            </w:pPr>
            <w:r>
              <w:rPr>
                <w:rFonts w:hint="eastAsia" w:ascii="宋体" w:hAnsi="宋体"/>
                <w:sz w:val="18"/>
                <w:szCs w:val="18"/>
              </w:rPr>
              <w:t>8</w:t>
            </w:r>
          </w:p>
        </w:tc>
        <w:tc>
          <w:tcPr>
            <w:tcW w:w="591" w:type="dxa"/>
            <w:vMerge w:val="restart"/>
            <w:vAlign w:val="center"/>
          </w:tcPr>
          <w:p w14:paraId="355CB2C9">
            <w:pPr>
              <w:spacing w:line="300" w:lineRule="exact"/>
              <w:jc w:val="center"/>
              <w:rPr>
                <w:rFonts w:ascii="宋体" w:hAnsi="宋体" w:cs="宋体"/>
                <w:bCs/>
                <w:sz w:val="18"/>
                <w:szCs w:val="18"/>
              </w:rPr>
            </w:pPr>
            <w:r>
              <w:rPr>
                <w:rFonts w:hint="eastAsia" w:ascii="宋体" w:hAnsi="宋体" w:cs="宋体"/>
                <w:bCs/>
                <w:kern w:val="0"/>
                <w:sz w:val="18"/>
                <w:szCs w:val="18"/>
              </w:rPr>
              <w:t>Ⅱ类</w:t>
            </w:r>
          </w:p>
        </w:tc>
        <w:tc>
          <w:tcPr>
            <w:tcW w:w="1110" w:type="dxa"/>
            <w:vMerge w:val="restart"/>
            <w:vAlign w:val="center"/>
          </w:tcPr>
          <w:p w14:paraId="3269E252">
            <w:pPr>
              <w:spacing w:line="300" w:lineRule="exact"/>
              <w:jc w:val="center"/>
              <w:rPr>
                <w:rFonts w:ascii="宋体" w:hAnsi="宋体" w:cs="宋体"/>
                <w:bCs/>
                <w:sz w:val="18"/>
                <w:szCs w:val="18"/>
              </w:rPr>
            </w:pPr>
            <w:r>
              <w:rPr>
                <w:rFonts w:hint="eastAsia" w:ascii="宋体" w:hAnsi="宋体" w:cs="宋体"/>
                <w:bCs/>
                <w:sz w:val="18"/>
                <w:szCs w:val="18"/>
              </w:rPr>
              <w:t>持续改进（</w:t>
            </w:r>
            <w:r>
              <w:rPr>
                <w:rFonts w:ascii="宋体" w:hAnsi="宋体" w:cs="宋体"/>
                <w:bCs/>
                <w:sz w:val="18"/>
                <w:szCs w:val="18"/>
              </w:rPr>
              <w:t>7.5分</w:t>
            </w:r>
            <w:r>
              <w:rPr>
                <w:rFonts w:hint="eastAsia" w:ascii="宋体" w:hAnsi="宋体" w:cs="宋体"/>
                <w:bCs/>
                <w:sz w:val="18"/>
                <w:szCs w:val="18"/>
              </w:rPr>
              <w:t>）</w:t>
            </w:r>
          </w:p>
        </w:tc>
        <w:tc>
          <w:tcPr>
            <w:tcW w:w="10907" w:type="dxa"/>
          </w:tcPr>
          <w:p w14:paraId="5313D229">
            <w:pPr>
              <w:spacing w:line="300" w:lineRule="exact"/>
              <w:rPr>
                <w:rFonts w:ascii="宋体" w:hAnsi="宋体"/>
                <w:sz w:val="18"/>
                <w:szCs w:val="18"/>
              </w:rPr>
            </w:pPr>
            <w:r>
              <w:rPr>
                <w:rFonts w:hint="eastAsia" w:ascii="宋体" w:hAnsi="宋体" w:cs="宋体"/>
                <w:sz w:val="18"/>
                <w:szCs w:val="18"/>
              </w:rPr>
              <w:t>3</w:t>
            </w:r>
            <w:r>
              <w:rPr>
                <w:rFonts w:ascii="宋体" w:hAnsi="宋体" w:cs="宋体"/>
                <w:sz w:val="18"/>
                <w:szCs w:val="18"/>
              </w:rPr>
              <w:t>8</w:t>
            </w:r>
            <w:r>
              <w:rPr>
                <w:rFonts w:hint="eastAsia" w:ascii="宋体" w:hAnsi="宋体" w:cs="宋体"/>
                <w:sz w:val="18"/>
                <w:szCs w:val="18"/>
              </w:rPr>
              <w:t>.建立信息收集和反馈机制，从与安全相关的事件中汲取经验和教训，从而改进工作。</w:t>
            </w:r>
          </w:p>
        </w:tc>
        <w:tc>
          <w:tcPr>
            <w:tcW w:w="750" w:type="dxa"/>
            <w:vAlign w:val="center"/>
          </w:tcPr>
          <w:p w14:paraId="19DC4CA7">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5A5C3FB3">
            <w:pPr>
              <w:spacing w:line="300" w:lineRule="exact"/>
              <w:rPr>
                <w:rFonts w:ascii="宋体" w:hAnsi="宋体"/>
                <w:sz w:val="18"/>
                <w:szCs w:val="18"/>
              </w:rPr>
            </w:pPr>
          </w:p>
        </w:tc>
      </w:tr>
      <w:tr w14:paraId="4BDCED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A11E5E4">
            <w:pPr>
              <w:spacing w:line="300" w:lineRule="exact"/>
              <w:jc w:val="center"/>
              <w:rPr>
                <w:rFonts w:ascii="宋体" w:hAnsi="宋体"/>
                <w:sz w:val="18"/>
                <w:szCs w:val="18"/>
              </w:rPr>
            </w:pPr>
          </w:p>
        </w:tc>
        <w:tc>
          <w:tcPr>
            <w:tcW w:w="591" w:type="dxa"/>
            <w:vMerge w:val="continue"/>
            <w:vAlign w:val="center"/>
          </w:tcPr>
          <w:p w14:paraId="75F14A8A">
            <w:pPr>
              <w:spacing w:line="300" w:lineRule="exact"/>
              <w:jc w:val="center"/>
              <w:rPr>
                <w:rFonts w:ascii="宋体" w:hAnsi="宋体" w:cs="宋体"/>
                <w:bCs/>
                <w:sz w:val="18"/>
                <w:szCs w:val="18"/>
              </w:rPr>
            </w:pPr>
          </w:p>
        </w:tc>
        <w:tc>
          <w:tcPr>
            <w:tcW w:w="1110" w:type="dxa"/>
            <w:vMerge w:val="continue"/>
            <w:vAlign w:val="center"/>
          </w:tcPr>
          <w:p w14:paraId="296C4D26">
            <w:pPr>
              <w:spacing w:line="300" w:lineRule="exact"/>
              <w:jc w:val="center"/>
              <w:rPr>
                <w:rFonts w:ascii="宋体" w:hAnsi="宋体" w:cs="宋体"/>
                <w:bCs/>
                <w:sz w:val="18"/>
                <w:szCs w:val="18"/>
              </w:rPr>
            </w:pPr>
          </w:p>
        </w:tc>
        <w:tc>
          <w:tcPr>
            <w:tcW w:w="10907" w:type="dxa"/>
          </w:tcPr>
          <w:p w14:paraId="094A3ADA">
            <w:pPr>
              <w:pStyle w:val="23"/>
              <w:numPr>
                <w:ilvl w:val="0"/>
                <w:numId w:val="0"/>
              </w:numPr>
              <w:rPr>
                <w:sz w:val="18"/>
                <w:szCs w:val="18"/>
              </w:rPr>
            </w:pPr>
            <w:r>
              <w:rPr>
                <w:rFonts w:hAnsi="宋体" w:cs="宋体"/>
                <w:sz w:val="18"/>
                <w:szCs w:val="18"/>
              </w:rPr>
              <w:t>39</w:t>
            </w:r>
            <w:r>
              <w:rPr>
                <w:rFonts w:hint="eastAsia" w:hAnsi="宋体" w:cs="宋体"/>
                <w:sz w:val="18"/>
                <w:szCs w:val="18"/>
              </w:rPr>
              <w:t>. 应每年至少开展一次</w:t>
            </w:r>
            <w:r>
              <w:rPr>
                <w:rFonts w:hint="eastAsia"/>
                <w:sz w:val="18"/>
                <w:szCs w:val="18"/>
              </w:rPr>
              <w:t>安全文化建设自评估，分析安全文化建设的成效、问题与不足，提出整改措施并持续改进，促进安全文化建设水平的提高。</w:t>
            </w:r>
          </w:p>
        </w:tc>
        <w:tc>
          <w:tcPr>
            <w:tcW w:w="750" w:type="dxa"/>
            <w:vAlign w:val="center"/>
          </w:tcPr>
          <w:p w14:paraId="494BBE16">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6986FCB1">
            <w:pPr>
              <w:spacing w:line="300" w:lineRule="exact"/>
              <w:rPr>
                <w:rFonts w:ascii="宋体" w:hAnsi="宋体"/>
                <w:sz w:val="18"/>
                <w:szCs w:val="18"/>
              </w:rPr>
            </w:pPr>
          </w:p>
        </w:tc>
      </w:tr>
      <w:tr w14:paraId="0C9E6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2E70532">
            <w:pPr>
              <w:spacing w:line="300" w:lineRule="exact"/>
              <w:jc w:val="center"/>
              <w:rPr>
                <w:rFonts w:ascii="宋体" w:hAnsi="宋体"/>
                <w:sz w:val="18"/>
                <w:szCs w:val="18"/>
              </w:rPr>
            </w:pPr>
          </w:p>
        </w:tc>
        <w:tc>
          <w:tcPr>
            <w:tcW w:w="591" w:type="dxa"/>
            <w:vMerge w:val="continue"/>
            <w:vAlign w:val="center"/>
          </w:tcPr>
          <w:p w14:paraId="23D5B686">
            <w:pPr>
              <w:spacing w:line="300" w:lineRule="exact"/>
              <w:jc w:val="center"/>
              <w:rPr>
                <w:rFonts w:ascii="宋体" w:hAnsi="宋体" w:cs="宋体"/>
                <w:bCs/>
                <w:sz w:val="18"/>
                <w:szCs w:val="18"/>
              </w:rPr>
            </w:pPr>
          </w:p>
        </w:tc>
        <w:tc>
          <w:tcPr>
            <w:tcW w:w="1110" w:type="dxa"/>
            <w:vMerge w:val="continue"/>
            <w:vAlign w:val="center"/>
          </w:tcPr>
          <w:p w14:paraId="0F906396">
            <w:pPr>
              <w:spacing w:line="300" w:lineRule="exact"/>
              <w:jc w:val="center"/>
              <w:rPr>
                <w:rFonts w:ascii="宋体" w:hAnsi="宋体" w:cs="宋体"/>
                <w:bCs/>
                <w:sz w:val="18"/>
                <w:szCs w:val="18"/>
              </w:rPr>
            </w:pPr>
          </w:p>
        </w:tc>
        <w:tc>
          <w:tcPr>
            <w:tcW w:w="10907" w:type="dxa"/>
          </w:tcPr>
          <w:p w14:paraId="1517BE9F">
            <w:pPr>
              <w:pStyle w:val="23"/>
              <w:numPr>
                <w:ilvl w:val="0"/>
                <w:numId w:val="0"/>
              </w:numPr>
              <w:rPr>
                <w:sz w:val="18"/>
                <w:szCs w:val="18"/>
              </w:rPr>
            </w:pPr>
            <w:r>
              <w:rPr>
                <w:rFonts w:hAnsi="宋体" w:cs="宋体"/>
                <w:sz w:val="18"/>
                <w:szCs w:val="18"/>
              </w:rPr>
              <w:t>40</w:t>
            </w:r>
            <w:r>
              <w:rPr>
                <w:rFonts w:hint="eastAsia" w:hAnsi="宋体" w:cs="宋体"/>
                <w:sz w:val="18"/>
                <w:szCs w:val="18"/>
              </w:rPr>
              <w:t>.</w:t>
            </w:r>
            <w:r>
              <w:rPr>
                <w:rFonts w:hint="eastAsia"/>
                <w:sz w:val="18"/>
                <w:szCs w:val="18"/>
              </w:rPr>
              <w:t xml:space="preserve"> 应常态化组织安全文化建设经验交流活动，对内与</w:t>
            </w:r>
            <w:r>
              <w:rPr>
                <w:rFonts w:hint="eastAsia" w:hAnsi="宋体" w:cs="宋体"/>
                <w:sz w:val="18"/>
                <w:szCs w:val="18"/>
              </w:rPr>
              <w:t>企业其他子文化建设、</w:t>
            </w:r>
            <w:r>
              <w:rPr>
                <w:rFonts w:hint="eastAsia"/>
                <w:sz w:val="18"/>
                <w:szCs w:val="18"/>
              </w:rPr>
              <w:t>党建等工作有机结合、相互促进，对外加强企业间的学习交流、取长补短，不断完善安全文化体系和运行机制，持续巩固并提升安全文化建设成果。</w:t>
            </w:r>
          </w:p>
        </w:tc>
        <w:tc>
          <w:tcPr>
            <w:tcW w:w="750" w:type="dxa"/>
            <w:vAlign w:val="center"/>
          </w:tcPr>
          <w:p w14:paraId="52768A48">
            <w:pPr>
              <w:spacing w:line="300" w:lineRule="exact"/>
              <w:jc w:val="center"/>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3DE2A788">
            <w:pPr>
              <w:spacing w:line="300" w:lineRule="exact"/>
              <w:rPr>
                <w:rFonts w:ascii="宋体" w:hAnsi="宋体"/>
                <w:sz w:val="18"/>
                <w:szCs w:val="18"/>
              </w:rPr>
            </w:pPr>
          </w:p>
        </w:tc>
      </w:tr>
      <w:tr w14:paraId="2AE6F0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42983C15">
            <w:pPr>
              <w:spacing w:line="300" w:lineRule="exact"/>
              <w:jc w:val="center"/>
              <w:rPr>
                <w:rFonts w:ascii="宋体" w:hAnsi="宋体"/>
                <w:sz w:val="18"/>
                <w:szCs w:val="18"/>
              </w:rPr>
            </w:pPr>
            <w:r>
              <w:rPr>
                <w:rFonts w:ascii="宋体" w:hAnsi="宋体"/>
                <w:sz w:val="18"/>
                <w:szCs w:val="18"/>
              </w:rPr>
              <w:t>9</w:t>
            </w:r>
          </w:p>
        </w:tc>
        <w:tc>
          <w:tcPr>
            <w:tcW w:w="591" w:type="dxa"/>
            <w:vMerge w:val="restart"/>
            <w:vAlign w:val="center"/>
          </w:tcPr>
          <w:p w14:paraId="76DB5E4F">
            <w:pPr>
              <w:spacing w:line="300" w:lineRule="exact"/>
              <w:jc w:val="center"/>
              <w:rPr>
                <w:rFonts w:ascii="宋体" w:hAnsi="宋体" w:cs="宋体"/>
                <w:bCs/>
                <w:sz w:val="18"/>
                <w:szCs w:val="18"/>
              </w:rPr>
            </w:pPr>
            <w:r>
              <w:rPr>
                <w:rFonts w:hint="eastAsia" w:ascii="宋体" w:hAnsi="宋体" w:cs="宋体"/>
                <w:bCs/>
                <w:sz w:val="18"/>
                <w:szCs w:val="18"/>
              </w:rPr>
              <w:t>Ⅲ类</w:t>
            </w:r>
          </w:p>
        </w:tc>
        <w:tc>
          <w:tcPr>
            <w:tcW w:w="1110" w:type="dxa"/>
            <w:vMerge w:val="restart"/>
            <w:vAlign w:val="center"/>
          </w:tcPr>
          <w:p w14:paraId="06E23A57">
            <w:pPr>
              <w:spacing w:line="300" w:lineRule="exact"/>
              <w:jc w:val="center"/>
              <w:rPr>
                <w:rFonts w:ascii="宋体" w:hAnsi="宋体"/>
                <w:sz w:val="18"/>
                <w:szCs w:val="18"/>
              </w:rPr>
            </w:pPr>
            <w:r>
              <w:rPr>
                <w:rFonts w:hint="eastAsia" w:ascii="宋体" w:hAnsi="宋体" w:cs="宋体"/>
                <w:bCs/>
                <w:sz w:val="18"/>
                <w:szCs w:val="18"/>
              </w:rPr>
              <w:t>加分项（</w:t>
            </w:r>
            <w:r>
              <w:rPr>
                <w:rFonts w:ascii="宋体" w:hAnsi="宋体" w:cs="宋体"/>
                <w:bCs/>
                <w:sz w:val="18"/>
                <w:szCs w:val="18"/>
              </w:rPr>
              <w:t>10</w:t>
            </w:r>
            <w:r>
              <w:rPr>
                <w:rFonts w:hint="eastAsia" w:ascii="宋体" w:hAnsi="宋体" w:cs="宋体"/>
                <w:bCs/>
                <w:sz w:val="18"/>
                <w:szCs w:val="18"/>
              </w:rPr>
              <w:t>分）</w:t>
            </w:r>
          </w:p>
        </w:tc>
        <w:tc>
          <w:tcPr>
            <w:tcW w:w="10907" w:type="dxa"/>
          </w:tcPr>
          <w:p w14:paraId="4C1141A0">
            <w:pPr>
              <w:spacing w:line="300" w:lineRule="exact"/>
              <w:rPr>
                <w:rFonts w:ascii="宋体" w:hAnsi="宋体"/>
                <w:sz w:val="18"/>
                <w:szCs w:val="18"/>
              </w:rPr>
            </w:pPr>
            <w:r>
              <w:rPr>
                <w:rFonts w:hint="eastAsia" w:ascii="宋体" w:hAnsi="宋体" w:cs="宋体"/>
                <w:kern w:val="0"/>
                <w:sz w:val="18"/>
                <w:szCs w:val="18"/>
              </w:rPr>
              <w:t>1.企业参保安全生产责任险。</w:t>
            </w:r>
          </w:p>
        </w:tc>
        <w:tc>
          <w:tcPr>
            <w:tcW w:w="750" w:type="dxa"/>
            <w:vAlign w:val="center"/>
          </w:tcPr>
          <w:p w14:paraId="79016D0F">
            <w:pPr>
              <w:spacing w:line="300" w:lineRule="exact"/>
              <w:jc w:val="center"/>
              <w:rPr>
                <w:rFonts w:ascii="宋体" w:hAnsi="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6EC1AAB6">
            <w:pPr>
              <w:spacing w:line="300" w:lineRule="exact"/>
              <w:rPr>
                <w:rFonts w:ascii="宋体" w:hAnsi="宋体"/>
                <w:sz w:val="18"/>
                <w:szCs w:val="18"/>
              </w:rPr>
            </w:pPr>
          </w:p>
        </w:tc>
      </w:tr>
      <w:tr w14:paraId="6BA363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3B5772F">
            <w:pPr>
              <w:spacing w:line="300" w:lineRule="exact"/>
              <w:jc w:val="center"/>
              <w:rPr>
                <w:rFonts w:ascii="宋体" w:hAnsi="宋体"/>
                <w:sz w:val="18"/>
                <w:szCs w:val="18"/>
              </w:rPr>
            </w:pPr>
          </w:p>
        </w:tc>
        <w:tc>
          <w:tcPr>
            <w:tcW w:w="591" w:type="dxa"/>
            <w:vMerge w:val="continue"/>
          </w:tcPr>
          <w:p w14:paraId="6F1F13E3">
            <w:pPr>
              <w:spacing w:line="300" w:lineRule="exact"/>
              <w:jc w:val="center"/>
              <w:rPr>
                <w:rFonts w:ascii="宋体" w:hAnsi="宋体"/>
                <w:sz w:val="18"/>
                <w:szCs w:val="18"/>
              </w:rPr>
            </w:pPr>
          </w:p>
        </w:tc>
        <w:tc>
          <w:tcPr>
            <w:tcW w:w="1110" w:type="dxa"/>
            <w:vMerge w:val="continue"/>
            <w:vAlign w:val="center"/>
          </w:tcPr>
          <w:p w14:paraId="4031270E">
            <w:pPr>
              <w:spacing w:line="300" w:lineRule="exact"/>
              <w:jc w:val="center"/>
              <w:rPr>
                <w:rFonts w:ascii="宋体" w:hAnsi="宋体"/>
                <w:sz w:val="18"/>
                <w:szCs w:val="18"/>
              </w:rPr>
            </w:pPr>
          </w:p>
        </w:tc>
        <w:tc>
          <w:tcPr>
            <w:tcW w:w="10907" w:type="dxa"/>
          </w:tcPr>
          <w:p w14:paraId="46D2D766">
            <w:pPr>
              <w:spacing w:line="300" w:lineRule="exact"/>
              <w:rPr>
                <w:rFonts w:ascii="宋体" w:hAnsi="宋体"/>
                <w:sz w:val="18"/>
                <w:szCs w:val="18"/>
              </w:rPr>
            </w:pPr>
            <w:r>
              <w:rPr>
                <w:rFonts w:hint="eastAsia" w:ascii="宋体" w:hAnsi="宋体" w:cs="宋体"/>
                <w:kern w:val="0"/>
                <w:sz w:val="18"/>
                <w:szCs w:val="18"/>
              </w:rPr>
              <w:t>2.企业安全生产工作近三年获得过省级（含）以上表彰奖励。</w:t>
            </w:r>
          </w:p>
        </w:tc>
        <w:tc>
          <w:tcPr>
            <w:tcW w:w="750" w:type="dxa"/>
            <w:vAlign w:val="center"/>
          </w:tcPr>
          <w:p w14:paraId="65F5D809">
            <w:pPr>
              <w:spacing w:line="300" w:lineRule="exact"/>
              <w:jc w:val="center"/>
              <w:rPr>
                <w:rFonts w:ascii="宋体" w:hAnsi="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053D8DF0">
            <w:pPr>
              <w:spacing w:line="300" w:lineRule="exact"/>
              <w:rPr>
                <w:rFonts w:ascii="宋体" w:hAnsi="宋体"/>
                <w:sz w:val="18"/>
                <w:szCs w:val="18"/>
              </w:rPr>
            </w:pPr>
          </w:p>
        </w:tc>
      </w:tr>
      <w:tr w14:paraId="20FA40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616CA639">
            <w:pPr>
              <w:spacing w:line="300" w:lineRule="exact"/>
              <w:jc w:val="center"/>
              <w:rPr>
                <w:rFonts w:ascii="宋体" w:hAnsi="宋体"/>
                <w:sz w:val="18"/>
                <w:szCs w:val="18"/>
              </w:rPr>
            </w:pPr>
          </w:p>
        </w:tc>
        <w:tc>
          <w:tcPr>
            <w:tcW w:w="591" w:type="dxa"/>
            <w:vMerge w:val="continue"/>
          </w:tcPr>
          <w:p w14:paraId="5773E51A">
            <w:pPr>
              <w:spacing w:line="300" w:lineRule="exact"/>
              <w:jc w:val="center"/>
              <w:rPr>
                <w:rFonts w:ascii="宋体" w:hAnsi="宋体"/>
                <w:sz w:val="18"/>
                <w:szCs w:val="18"/>
              </w:rPr>
            </w:pPr>
          </w:p>
        </w:tc>
        <w:tc>
          <w:tcPr>
            <w:tcW w:w="1110" w:type="dxa"/>
            <w:vMerge w:val="continue"/>
            <w:vAlign w:val="center"/>
          </w:tcPr>
          <w:p w14:paraId="6D52E001">
            <w:pPr>
              <w:spacing w:line="300" w:lineRule="exact"/>
              <w:jc w:val="center"/>
              <w:rPr>
                <w:rFonts w:ascii="宋体" w:hAnsi="宋体"/>
                <w:sz w:val="18"/>
                <w:szCs w:val="18"/>
              </w:rPr>
            </w:pPr>
          </w:p>
        </w:tc>
        <w:tc>
          <w:tcPr>
            <w:tcW w:w="10907" w:type="dxa"/>
          </w:tcPr>
          <w:p w14:paraId="10BF29D2">
            <w:pPr>
              <w:spacing w:line="300" w:lineRule="exact"/>
              <w:rPr>
                <w:rFonts w:ascii="宋体" w:hAnsi="宋体"/>
                <w:sz w:val="18"/>
                <w:szCs w:val="18"/>
              </w:rPr>
            </w:pPr>
            <w:r>
              <w:rPr>
                <w:rFonts w:hint="eastAsia" w:ascii="宋体" w:hAnsi="宋体" w:cs="宋体"/>
                <w:sz w:val="18"/>
                <w:szCs w:val="18"/>
              </w:rPr>
              <w:t>3.企业通过职业健康安全管理体系或行业领域安全生产标准化二级以上等认证。</w:t>
            </w:r>
          </w:p>
        </w:tc>
        <w:tc>
          <w:tcPr>
            <w:tcW w:w="750" w:type="dxa"/>
            <w:vAlign w:val="center"/>
          </w:tcPr>
          <w:p w14:paraId="5802C9A1">
            <w:pPr>
              <w:spacing w:line="300" w:lineRule="exact"/>
              <w:jc w:val="center"/>
              <w:rPr>
                <w:rFonts w:ascii="宋体" w:hAnsi="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17FD7E10">
            <w:pPr>
              <w:spacing w:line="300" w:lineRule="exact"/>
              <w:rPr>
                <w:rFonts w:ascii="宋体" w:hAnsi="宋体"/>
                <w:sz w:val="18"/>
                <w:szCs w:val="18"/>
              </w:rPr>
            </w:pPr>
          </w:p>
        </w:tc>
      </w:tr>
      <w:tr w14:paraId="25AD8E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252C7663">
            <w:pPr>
              <w:spacing w:line="300" w:lineRule="exact"/>
              <w:jc w:val="center"/>
              <w:rPr>
                <w:rFonts w:ascii="宋体" w:hAnsi="宋体"/>
                <w:sz w:val="18"/>
                <w:szCs w:val="18"/>
              </w:rPr>
            </w:pPr>
          </w:p>
        </w:tc>
        <w:tc>
          <w:tcPr>
            <w:tcW w:w="591" w:type="dxa"/>
            <w:vMerge w:val="continue"/>
          </w:tcPr>
          <w:p w14:paraId="7ED6FF7C">
            <w:pPr>
              <w:spacing w:line="300" w:lineRule="exact"/>
              <w:jc w:val="center"/>
              <w:rPr>
                <w:rFonts w:ascii="宋体" w:hAnsi="宋体"/>
                <w:sz w:val="18"/>
                <w:szCs w:val="18"/>
              </w:rPr>
            </w:pPr>
          </w:p>
        </w:tc>
        <w:tc>
          <w:tcPr>
            <w:tcW w:w="1110" w:type="dxa"/>
            <w:vMerge w:val="continue"/>
            <w:vAlign w:val="center"/>
          </w:tcPr>
          <w:p w14:paraId="7B5B587C">
            <w:pPr>
              <w:spacing w:line="300" w:lineRule="exact"/>
              <w:jc w:val="center"/>
              <w:rPr>
                <w:rFonts w:ascii="宋体" w:hAnsi="宋体"/>
                <w:sz w:val="18"/>
                <w:szCs w:val="18"/>
              </w:rPr>
            </w:pPr>
          </w:p>
        </w:tc>
        <w:tc>
          <w:tcPr>
            <w:tcW w:w="10907" w:type="dxa"/>
          </w:tcPr>
          <w:p w14:paraId="39931A8A">
            <w:pPr>
              <w:spacing w:line="300" w:lineRule="exact"/>
              <w:rPr>
                <w:rFonts w:ascii="宋体" w:hAnsi="宋体"/>
                <w:sz w:val="18"/>
                <w:szCs w:val="18"/>
              </w:rPr>
            </w:pPr>
            <w:r>
              <w:rPr>
                <w:rFonts w:hint="eastAsia" w:ascii="宋体" w:hAnsi="宋体" w:cs="宋体"/>
                <w:kern w:val="0"/>
                <w:sz w:val="18"/>
                <w:szCs w:val="18"/>
              </w:rPr>
              <w:t>4.将安全文化建设阶段性成果（技术、产品或服务）进行应用，促进文化产业和安全产业发展。</w:t>
            </w:r>
          </w:p>
        </w:tc>
        <w:tc>
          <w:tcPr>
            <w:tcW w:w="750" w:type="dxa"/>
            <w:vAlign w:val="center"/>
          </w:tcPr>
          <w:p w14:paraId="6EAEDAF5">
            <w:pPr>
              <w:spacing w:line="300" w:lineRule="exact"/>
              <w:jc w:val="center"/>
              <w:rPr>
                <w:rFonts w:ascii="宋体" w:hAnsi="宋体"/>
                <w:sz w:val="18"/>
                <w:szCs w:val="18"/>
              </w:rPr>
            </w:pPr>
            <w:r>
              <w:rPr>
                <w:rFonts w:ascii="宋体" w:hAnsi="宋体" w:cs="宋体"/>
                <w:kern w:val="0"/>
                <w:sz w:val="18"/>
                <w:szCs w:val="18"/>
              </w:rPr>
              <w:t>2.</w:t>
            </w:r>
            <w:r>
              <w:rPr>
                <w:rFonts w:hint="eastAsia" w:ascii="宋体" w:hAnsi="宋体" w:cs="宋体"/>
                <w:kern w:val="0"/>
                <w:sz w:val="18"/>
                <w:szCs w:val="18"/>
              </w:rPr>
              <w:t>5</w:t>
            </w:r>
          </w:p>
        </w:tc>
        <w:tc>
          <w:tcPr>
            <w:tcW w:w="660" w:type="dxa"/>
          </w:tcPr>
          <w:p w14:paraId="21C2C4BA">
            <w:pPr>
              <w:spacing w:line="300" w:lineRule="exact"/>
              <w:rPr>
                <w:rFonts w:ascii="宋体" w:hAnsi="宋体"/>
                <w:sz w:val="18"/>
                <w:szCs w:val="18"/>
              </w:rPr>
            </w:pPr>
          </w:p>
        </w:tc>
      </w:tr>
    </w:tbl>
    <w:p w14:paraId="199CC3E4">
      <w:pPr>
        <w:jc w:val="center"/>
      </w:pPr>
    </w:p>
    <w:p w14:paraId="754733D3">
      <w:pPr>
        <w:pStyle w:val="18"/>
        <w:framePr w:wrap="around" w:y="1"/>
        <w:ind w:hanging="360"/>
      </w:pPr>
      <w:r>
        <w:t>_________________________________</w:t>
      </w:r>
    </w:p>
    <w:p w14:paraId="4A28EDF2">
      <w:pPr>
        <w:pStyle w:val="19"/>
        <w:adjustRightInd w:val="0"/>
        <w:spacing w:before="0" w:after="0" w:line="240" w:lineRule="auto"/>
        <w:jc w:val="both"/>
        <w:outlineLvl w:val="1"/>
        <w:rPr>
          <w:rFonts w:ascii="黑体" w:hAnsi="黑体" w:cs="黑体"/>
          <w:sz w:val="21"/>
          <w:szCs w:val="21"/>
        </w:rPr>
      </w:pPr>
    </w:p>
    <w:sectPr>
      <w:footerReference r:id="rId4" w:type="default"/>
      <w:headerReference r:id="rId3" w:type="even"/>
      <w:footerReference r:id="rId5" w:type="even"/>
      <w:pgSz w:w="16838" w:h="11905" w:orient="landscape"/>
      <w:pgMar w:top="1440" w:right="1800" w:bottom="1440" w:left="1800" w:header="1417" w:footer="1134" w:gutter="0"/>
      <w:pgBorders>
        <w:top w:val="none" w:sz="0" w:space="0"/>
        <w:left w:val="none" w:sz="0" w:space="0"/>
        <w:bottom w:val="none" w:sz="0" w:space="0"/>
        <w:right w:val="none" w:sz="0" w:space="0"/>
      </w:pgBorders>
      <w:cols w:space="720" w:num="1"/>
      <w:formProt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IDFont+F1">
    <w:altName w:val="宋体"/>
    <w:panose1 w:val="00000000000000000000"/>
    <w:charset w:val="86"/>
    <w:family w:val="auto"/>
    <w:pitch w:val="default"/>
    <w:sig w:usb0="00000000" w:usb1="00000000" w:usb2="00000010" w:usb3="00000000" w:csb0="00040000" w:csb1="00000000"/>
  </w:font>
  <w:font w:name="ËÎÌå">
    <w:altName w:val="Arial"/>
    <w:panose1 w:val="00000000000000000000"/>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040A2">
    <w:pPr>
      <w:pStyle w:val="8"/>
      <w:jc w:val="both"/>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71450" cy="131445"/>
              <wp:effectExtent l="1270" t="2540" r="0" b="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71450" cy="131445"/>
                      </a:xfrm>
                      <a:prstGeom prst="rect">
                        <a:avLst/>
                      </a:prstGeom>
                      <a:noFill/>
                      <a:ln>
                        <a:noFill/>
                      </a:ln>
                    </wps:spPr>
                    <wps:txbx>
                      <w:txbxContent>
                        <w:p w14:paraId="06AA2B17">
                          <w:pPr>
                            <w:pStyle w:val="8"/>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3.5pt;mso-position-horizontal:outside;mso-position-horizontal-relative:margin;mso-wrap-style:none;z-index:251659264;mso-width-relative:page;mso-height-relative:page;" filled="f" stroked="f" coordsize="21600,21600" o:gfxdata="UEsDBAoAAAAAAIdO4kAAAAAAAAAAAAAAAAAEAAAAZHJzL1BLAwQUAAAACACHTuJA1Y5ci88AAAAD&#10;AQAADwAAAGRycy9kb3ducmV2LnhtbE2PMU/DMBCFdyT+g3WV2KjdDqQKcTpU6sJGQUhsbnyNI+xz&#10;ZLtp8u85WGC509M7vftes5+DFxOmPETSsFkrEEhdtAP1Gt7fjo87ELkYssZHQg0LZti393eNqW28&#10;0StOp9ILDqFcGw2ulLGWMncOg8nrOCKxd4kpmMIy9dImc+Pw4OVWqScZzED8wZkRDw67r9M1aKjm&#10;j4hjxgN+XqYuuWHZ+ZdF64fVRj2DKDiXv2P4wWd0aJnpHK9ks/AauEj5nextK1Zn3qoC2TbyP3v7&#10;DVBLAwQUAAAACACHTuJAmM2N+wkCAAACBAAADgAAAGRycy9lMm9Eb2MueG1srVPNjtMwEL4j8Q6W&#10;7zTN0qUoarpatipCWn6khQdwHaexiD3W2G1SHgDegBMX7jxXn4Ox05RlueyBizW2x9983zfjxVVv&#10;WrZX6DXYkueTKWfKSqi03Zb808f1s5ec+SBsJVqwquQH5fnV8umTRecKdQENtJVCRiDWF50reROC&#10;K7LMy0YZ4SfglKXLGtCIQFvcZhWKjtBNm11Mpy+yDrByCFJ5T6er4ZKfEPExgFDXWqoVyJ1RNgyo&#10;qFoRSJJvtPN8mdjWtZLhfV17FVhbclIa0kpFKN7ENVsuRLFF4RotTxTEYyg80GSEtlT0DLUSQbAd&#10;6n+gjJYIHuowkWCyQUhyhFTk0wfe3DXCqaSFrPbubLr/f7Dy3f4DMl2VfM6ZFYYafvz+7fjj1/Hn&#10;VzaP9nTOF5R15ygv9K+gp6FJUr27BfnZMws3jbBbdY0IXaNERfTy+DK793TA8RFk072FiuqIXYAE&#10;1NdoonfkBiN0as3h3BrVByZjyXk+u6QbSVf583w2u0wVRDE+dujDawWGxaDkSJ1P4GJ/60MkI4ox&#10;JdaysNZtm7rf2r8OKDGeJPKR78A89Jv+ZMYGqgPJQBiGib4SBQ3gF846GqSSW/o3nLVvLBkRZ24M&#10;cAw2YyCspIclD5wN4U0YZnPnUG8bwh2tviaz1joJia4OHE4saTSSvtMYx9m7v09Zf77u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VjlyLzwAAAAMBAAAPAAAAAAAAAAEAIAAAACIAAABkcnMvZG93&#10;bnJldi54bWxQSwECFAAUAAAACACHTuJAmM2N+wkCAAACBAAADgAAAAAAAAABACAAAAAeAQAAZHJz&#10;L2Uyb0RvYy54bWxQSwUGAAAAAAYABgBZAQAAmQUAAAAA&#10;">
              <v:fill on="f" focussize="0,0"/>
              <v:stroke on="f"/>
              <v:imagedata o:title=""/>
              <o:lock v:ext="edit" aspectratio="f"/>
              <v:textbox inset="0mm,0mm,0mm,0mm" style="mso-fit-shape-to-text:t;">
                <w:txbxContent>
                  <w:p w14:paraId="06AA2B17">
                    <w:pPr>
                      <w:pStyle w:val="8"/>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9D5DD">
    <w:pPr>
      <w:pStyle w:val="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209550" cy="131445"/>
              <wp:effectExtent l="0" t="2540" r="4445" b="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209550" cy="131445"/>
                      </a:xfrm>
                      <a:prstGeom prst="rect">
                        <a:avLst/>
                      </a:prstGeom>
                      <a:noFill/>
                      <a:ln>
                        <a:noFill/>
                      </a:ln>
                    </wps:spPr>
                    <wps:txbx>
                      <w:txbxContent>
                        <w:p w14:paraId="368698EE">
                          <w:pPr>
                            <w:pStyle w:val="8"/>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6.5pt;mso-position-horizontal:outside;mso-position-horizontal-relative:margin;mso-wrap-style:none;z-index:251660288;mso-width-relative:page;mso-height-relative:page;" filled="f" stroked="f" coordsize="21600,21600" o:gfxdata="UEsDBAoAAAAAAIdO4kAAAAAAAAAAAAAAAAAEAAAAZHJzL1BLAwQUAAAACACHTuJAhaOM7tAAAAAD&#10;AQAADwAAAGRycy9kb3ducmV2LnhtbE2PwWrDMBBE74X8g9hAb42UBJrgWs4h0EtvTUuhN8XaWKbS&#10;ykiKY/99t720l4Fhlpm39WEKXoyYch9Jw3qlQCC10fbUaXh/e37Yg8jFkDU+EmqYMcOhWdzVprLx&#10;Rq84nkonuIRyZTS4UoZKytw6DCav4oDE2SWmYArb1EmbzI3Lg5cbpR5lMD3xgjMDHh22X6dr0LCb&#10;PiIOGY/4eRnb5Pp5719mre+Xa/UEouBU/o7hB5/RoWGmc7ySzcJr4EfKr3K23bI7a9ioHcimlv/Z&#10;m29QSwMEFAAAAAgAh07iQMj1cYkKAgAAAgQAAA4AAABkcnMvZTJvRG9jLnhtbK1TzY7TMBC+I/EO&#10;lu80admiJWq6WrYqQlp+pIUHcB2nsYg91thtUh4A3oATF+48V5+DsdOUZbnsgYs1tsfffN8348VV&#10;b1q2V+g12JJPJzlnykqotN2W/NPH9bNLznwQthItWFXyg/L8avn0yaJzhZpBA22lkBGI9UXnSt6E&#10;4Ios87JRRvgJOGXpsgY0ItAWt1mFoiN002azPH+RdYCVQ5DKezpdDZf8hIiPAYS61lKtQO6MsmFA&#10;RdWKQJJ8o53ny8S2rpUM7+vaq8DakpPSkFYqQvEmrtlyIYotCtdoeaIgHkPhgSYjtKWiZ6iVCILt&#10;UP8DZbRE8FCHiQSTDUKSI6Rimj/w5q4RTiUtZLV3Z9P9/4OV7/YfkOmq5NR2Kww1/Pj92/HHr+PP&#10;r+wy2tM5X1DWnaO80L+CnoYmSfXuFuRnzyzcNMJu1TUidI0SFdGbxpfZvacDjo8gm+4tVFRH7AIk&#10;oL5GE70jNxihU2sO59aoPjBJh7P85XxON5Kups+nFxfzVEEU42OHPrxWYFgMSo7U+QQu9rc+RDKi&#10;GFNiLQtr3bap+63964AS40kiH/kOzEO/6U9mbKA6kAyEYZjoK1HQAH7hrKNBKrmlf8NZ+8aSEXHm&#10;xgDHYDMGwkp6WPLA2RDehGE2dw71tiHc0eprMmutk5Do6sDhxJJGI+k7jXGcvfv7lPXn6y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WjjO7QAAAAAwEAAA8AAAAAAAAAAQAgAAAAIgAAAGRycy9k&#10;b3ducmV2LnhtbFBLAQIUABQAAAAIAIdO4kDI9XGJCgIAAAIEAAAOAAAAAAAAAAEAIAAAAB8BAABk&#10;cnMvZTJvRG9jLnhtbFBLBQYAAAAABgAGAFkBAACbBQAAAAA=&#10;">
              <v:fill on="f" focussize="0,0"/>
              <v:stroke on="f"/>
              <v:imagedata o:title=""/>
              <o:lock v:ext="edit" aspectratio="f"/>
              <v:textbox inset="0mm,0mm,0mm,0mm" style="mso-fit-shape-to-text:t;">
                <w:txbxContent>
                  <w:p w14:paraId="368698EE">
                    <w:pPr>
                      <w:pStyle w:val="8"/>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4725F">
    <w:pPr>
      <w:pStyle w:val="9"/>
      <w:pBdr>
        <w:bottom w:val="none" w:color="auto" w:sz="0" w:space="1"/>
      </w:pBdr>
      <w:jc w:val="both"/>
      <w:rPr>
        <w:rFonts w:hint="eastAsia" w:ascii="黑体" w:hAnsi="黑体" w:eastAsia="黑体"/>
        <w:color w:val="000000"/>
        <w:sz w:val="21"/>
        <w:szCs w:val="21"/>
        <w:lang w:eastAsia="zh-CN"/>
      </w:rPr>
    </w:pPr>
    <w:r>
      <w:rPr>
        <w:rFonts w:ascii="黑体" w:hAnsi="黑体" w:eastAsia="黑体"/>
        <w:color w:val="000000"/>
        <w:sz w:val="21"/>
        <w:szCs w:val="21"/>
      </w:rPr>
      <w:t xml:space="preserve">T/GDPAWS </w:t>
    </w:r>
    <w:r>
      <w:rPr>
        <w:rFonts w:hint="eastAsia" w:ascii="黑体" w:hAnsi="黑体" w:eastAsia="黑体"/>
        <w:color w:val="000000"/>
        <w:sz w:val="21"/>
        <w:szCs w:val="21"/>
        <w:lang w:val="en-US" w:eastAsia="zh-CN"/>
      </w:rPr>
      <w:t>7</w:t>
    </w:r>
    <w:r>
      <w:rPr>
        <w:rFonts w:ascii="黑体" w:hAnsi="黑体" w:eastAsia="黑体"/>
        <w:color w:val="000000"/>
        <w:sz w:val="21"/>
        <w:szCs w:val="21"/>
      </w:rPr>
      <w:t>—202</w:t>
    </w:r>
    <w:r>
      <w:rPr>
        <w:rFonts w:hint="eastAsia" w:ascii="黑体" w:hAnsi="黑体" w:eastAsia="黑体"/>
        <w:color w:val="000000"/>
        <w:sz w:val="21"/>
        <w:szCs w:val="21"/>
        <w:lang w:val="en-US" w:eastAsia="zh-CN"/>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81AF8"/>
    <w:multiLevelType w:val="multilevel"/>
    <w:tmpl w:val="5FF81AF8"/>
    <w:lvl w:ilvl="0" w:tentative="0">
      <w:start w:val="1"/>
      <w:numFmt w:val="lowerLetter"/>
      <w:pStyle w:val="35"/>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76D33C83"/>
    <w:multiLevelType w:val="multilevel"/>
    <w:tmpl w:val="76D33C83"/>
    <w:lvl w:ilvl="0" w:tentative="0">
      <w:start w:val="1"/>
      <w:numFmt w:val="decimal"/>
      <w:pStyle w:val="20"/>
      <w:lvlText w:val="%1."/>
      <w:lvlJc w:val="left"/>
      <w:pPr>
        <w:tabs>
          <w:tab w:val="left" w:pos="720"/>
        </w:tabs>
        <w:ind w:left="720" w:hanging="720"/>
      </w:pPr>
    </w:lvl>
    <w:lvl w:ilvl="1" w:tentative="0">
      <w:start w:val="1"/>
      <w:numFmt w:val="decimal"/>
      <w:pStyle w:val="34"/>
      <w:lvlText w:val="%2."/>
      <w:lvlJc w:val="left"/>
      <w:pPr>
        <w:tabs>
          <w:tab w:val="left" w:pos="1440"/>
        </w:tabs>
        <w:ind w:left="1440" w:hanging="720"/>
      </w:pPr>
    </w:lvl>
    <w:lvl w:ilvl="2" w:tentative="0">
      <w:start w:val="1"/>
      <w:numFmt w:val="decimal"/>
      <w:pStyle w:val="23"/>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7EC"/>
    <w:rsid w:val="00035B94"/>
    <w:rsid w:val="00051C5B"/>
    <w:rsid w:val="000905CD"/>
    <w:rsid w:val="000A2142"/>
    <w:rsid w:val="000A7088"/>
    <w:rsid w:val="000C6E76"/>
    <w:rsid w:val="000E1604"/>
    <w:rsid w:val="000F0D13"/>
    <w:rsid w:val="000F701C"/>
    <w:rsid w:val="00100D7F"/>
    <w:rsid w:val="00106D33"/>
    <w:rsid w:val="00146FAE"/>
    <w:rsid w:val="00170A93"/>
    <w:rsid w:val="00186C5F"/>
    <w:rsid w:val="001D183F"/>
    <w:rsid w:val="001E2C01"/>
    <w:rsid w:val="001E634E"/>
    <w:rsid w:val="001F58DD"/>
    <w:rsid w:val="0020645C"/>
    <w:rsid w:val="00233798"/>
    <w:rsid w:val="00240284"/>
    <w:rsid w:val="002842EC"/>
    <w:rsid w:val="00296735"/>
    <w:rsid w:val="00297D45"/>
    <w:rsid w:val="002C033E"/>
    <w:rsid w:val="002D07B1"/>
    <w:rsid w:val="00320816"/>
    <w:rsid w:val="00354943"/>
    <w:rsid w:val="00377A89"/>
    <w:rsid w:val="0038376C"/>
    <w:rsid w:val="0038784F"/>
    <w:rsid w:val="00394E47"/>
    <w:rsid w:val="003B03FA"/>
    <w:rsid w:val="003B667A"/>
    <w:rsid w:val="003C6292"/>
    <w:rsid w:val="003E430D"/>
    <w:rsid w:val="003E4B36"/>
    <w:rsid w:val="00432344"/>
    <w:rsid w:val="00433846"/>
    <w:rsid w:val="00453F48"/>
    <w:rsid w:val="00493DC1"/>
    <w:rsid w:val="00494E23"/>
    <w:rsid w:val="004B658B"/>
    <w:rsid w:val="004E23F2"/>
    <w:rsid w:val="004E5924"/>
    <w:rsid w:val="004E6267"/>
    <w:rsid w:val="004F15E1"/>
    <w:rsid w:val="005049DE"/>
    <w:rsid w:val="005063C9"/>
    <w:rsid w:val="00554A6F"/>
    <w:rsid w:val="0056494C"/>
    <w:rsid w:val="00570D8A"/>
    <w:rsid w:val="005B6907"/>
    <w:rsid w:val="005F3480"/>
    <w:rsid w:val="00666913"/>
    <w:rsid w:val="006D35AD"/>
    <w:rsid w:val="006D473D"/>
    <w:rsid w:val="006E15D1"/>
    <w:rsid w:val="006F590D"/>
    <w:rsid w:val="00704CD7"/>
    <w:rsid w:val="007810B2"/>
    <w:rsid w:val="007A14B3"/>
    <w:rsid w:val="007B2F05"/>
    <w:rsid w:val="007B633C"/>
    <w:rsid w:val="007C1066"/>
    <w:rsid w:val="007D6FBE"/>
    <w:rsid w:val="008142C8"/>
    <w:rsid w:val="00822C97"/>
    <w:rsid w:val="00824B0E"/>
    <w:rsid w:val="00862717"/>
    <w:rsid w:val="00871698"/>
    <w:rsid w:val="00871799"/>
    <w:rsid w:val="008777D4"/>
    <w:rsid w:val="00897C85"/>
    <w:rsid w:val="008A59B4"/>
    <w:rsid w:val="008B7F92"/>
    <w:rsid w:val="008D37DB"/>
    <w:rsid w:val="008F322B"/>
    <w:rsid w:val="00901C64"/>
    <w:rsid w:val="00902E6B"/>
    <w:rsid w:val="0092053C"/>
    <w:rsid w:val="009407A8"/>
    <w:rsid w:val="009540F3"/>
    <w:rsid w:val="009859EC"/>
    <w:rsid w:val="009A3552"/>
    <w:rsid w:val="009B5548"/>
    <w:rsid w:val="009C1D7B"/>
    <w:rsid w:val="009C709F"/>
    <w:rsid w:val="009E1CBD"/>
    <w:rsid w:val="009F2040"/>
    <w:rsid w:val="00A02C1D"/>
    <w:rsid w:val="00A53B24"/>
    <w:rsid w:val="00A62EDE"/>
    <w:rsid w:val="00A7641C"/>
    <w:rsid w:val="00A915DD"/>
    <w:rsid w:val="00A96BD1"/>
    <w:rsid w:val="00AC2CEF"/>
    <w:rsid w:val="00AC45FD"/>
    <w:rsid w:val="00AC6CB2"/>
    <w:rsid w:val="00AD3CA4"/>
    <w:rsid w:val="00AE4A25"/>
    <w:rsid w:val="00AF482F"/>
    <w:rsid w:val="00B32D3B"/>
    <w:rsid w:val="00B40E8A"/>
    <w:rsid w:val="00B4510B"/>
    <w:rsid w:val="00B51E6B"/>
    <w:rsid w:val="00B67FE8"/>
    <w:rsid w:val="00B71629"/>
    <w:rsid w:val="00BA4867"/>
    <w:rsid w:val="00BB79C4"/>
    <w:rsid w:val="00BC55F0"/>
    <w:rsid w:val="00C16882"/>
    <w:rsid w:val="00C26F12"/>
    <w:rsid w:val="00C31628"/>
    <w:rsid w:val="00C47B49"/>
    <w:rsid w:val="00C5309D"/>
    <w:rsid w:val="00C665BC"/>
    <w:rsid w:val="00C725F3"/>
    <w:rsid w:val="00C967EC"/>
    <w:rsid w:val="00CA0307"/>
    <w:rsid w:val="00CB540F"/>
    <w:rsid w:val="00CB6CFE"/>
    <w:rsid w:val="00CC3AF4"/>
    <w:rsid w:val="00CD5214"/>
    <w:rsid w:val="00CF02B8"/>
    <w:rsid w:val="00CF36CC"/>
    <w:rsid w:val="00D004EA"/>
    <w:rsid w:val="00D1216C"/>
    <w:rsid w:val="00D167B0"/>
    <w:rsid w:val="00D25315"/>
    <w:rsid w:val="00D45808"/>
    <w:rsid w:val="00D56DE3"/>
    <w:rsid w:val="00D63D2A"/>
    <w:rsid w:val="00D65FA9"/>
    <w:rsid w:val="00D77461"/>
    <w:rsid w:val="00DA1F06"/>
    <w:rsid w:val="00DB1EB8"/>
    <w:rsid w:val="00DE73D0"/>
    <w:rsid w:val="00E07DCC"/>
    <w:rsid w:val="00E12766"/>
    <w:rsid w:val="00E25430"/>
    <w:rsid w:val="00E406C0"/>
    <w:rsid w:val="00E96C9E"/>
    <w:rsid w:val="00EC513F"/>
    <w:rsid w:val="00EC7660"/>
    <w:rsid w:val="00ED2509"/>
    <w:rsid w:val="00F34DEA"/>
    <w:rsid w:val="00F4279A"/>
    <w:rsid w:val="00F966F5"/>
    <w:rsid w:val="00FA1542"/>
    <w:rsid w:val="00FA5C80"/>
    <w:rsid w:val="00FC7944"/>
    <w:rsid w:val="038D6B5F"/>
    <w:rsid w:val="05511549"/>
    <w:rsid w:val="05C321D9"/>
    <w:rsid w:val="05CC64B2"/>
    <w:rsid w:val="0B9A076F"/>
    <w:rsid w:val="0CA016B3"/>
    <w:rsid w:val="0E9301B6"/>
    <w:rsid w:val="13C25F58"/>
    <w:rsid w:val="15CE2F71"/>
    <w:rsid w:val="15EA64E1"/>
    <w:rsid w:val="1612592F"/>
    <w:rsid w:val="186F4FFF"/>
    <w:rsid w:val="193C34F7"/>
    <w:rsid w:val="19576FA0"/>
    <w:rsid w:val="1EA336D1"/>
    <w:rsid w:val="1F80106E"/>
    <w:rsid w:val="20411AAD"/>
    <w:rsid w:val="2193393F"/>
    <w:rsid w:val="22B0209E"/>
    <w:rsid w:val="259A5977"/>
    <w:rsid w:val="27624003"/>
    <w:rsid w:val="2B5B5A5F"/>
    <w:rsid w:val="2BA026BD"/>
    <w:rsid w:val="2C646526"/>
    <w:rsid w:val="2DDC2176"/>
    <w:rsid w:val="2DFE78AF"/>
    <w:rsid w:val="2EEA2059"/>
    <w:rsid w:val="302C6DB2"/>
    <w:rsid w:val="311C17EC"/>
    <w:rsid w:val="337D57E8"/>
    <w:rsid w:val="34DE28F3"/>
    <w:rsid w:val="36BB5604"/>
    <w:rsid w:val="37677539"/>
    <w:rsid w:val="37817EA5"/>
    <w:rsid w:val="39D57DB0"/>
    <w:rsid w:val="3A7F1BCB"/>
    <w:rsid w:val="3BBF7944"/>
    <w:rsid w:val="3D383607"/>
    <w:rsid w:val="3E611186"/>
    <w:rsid w:val="3E866DE3"/>
    <w:rsid w:val="3EAA5521"/>
    <w:rsid w:val="401D10DD"/>
    <w:rsid w:val="41AF52F9"/>
    <w:rsid w:val="42C33CFF"/>
    <w:rsid w:val="43FA4293"/>
    <w:rsid w:val="445157F9"/>
    <w:rsid w:val="44CF3EF7"/>
    <w:rsid w:val="457E3FA1"/>
    <w:rsid w:val="46E86020"/>
    <w:rsid w:val="47892B79"/>
    <w:rsid w:val="48503806"/>
    <w:rsid w:val="4AD35359"/>
    <w:rsid w:val="4C67437E"/>
    <w:rsid w:val="4D571A35"/>
    <w:rsid w:val="503E03F4"/>
    <w:rsid w:val="5147420C"/>
    <w:rsid w:val="53FA6132"/>
    <w:rsid w:val="543842E0"/>
    <w:rsid w:val="54857525"/>
    <w:rsid w:val="56B566DE"/>
    <w:rsid w:val="56D86DAE"/>
    <w:rsid w:val="59302F06"/>
    <w:rsid w:val="593B28A8"/>
    <w:rsid w:val="5A1F5D26"/>
    <w:rsid w:val="5AD84127"/>
    <w:rsid w:val="5AEE76AF"/>
    <w:rsid w:val="5B0E5B1D"/>
    <w:rsid w:val="5B7E6971"/>
    <w:rsid w:val="5C5A1297"/>
    <w:rsid w:val="5F500955"/>
    <w:rsid w:val="63411A81"/>
    <w:rsid w:val="681B4D8D"/>
    <w:rsid w:val="6A613336"/>
    <w:rsid w:val="6A765CF9"/>
    <w:rsid w:val="6C6E1ABB"/>
    <w:rsid w:val="716A1BE0"/>
    <w:rsid w:val="7249798C"/>
    <w:rsid w:val="739C511B"/>
    <w:rsid w:val="74F53273"/>
    <w:rsid w:val="775C3113"/>
    <w:rsid w:val="7771061B"/>
    <w:rsid w:val="778A7055"/>
    <w:rsid w:val="795D2330"/>
    <w:rsid w:val="7D66349E"/>
    <w:rsid w:val="7DFF5D8F"/>
    <w:rsid w:val="7FEA5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47"/>
    <w:semiHidden/>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44"/>
    <w:semiHidden/>
    <w:unhideWhenUsed/>
    <w:qFormat/>
    <w:uiPriority w:val="99"/>
    <w:pPr>
      <w:jc w:val="left"/>
    </w:pPr>
  </w:style>
  <w:style w:type="paragraph" w:styleId="5">
    <w:name w:val="toc 3"/>
    <w:basedOn w:val="1"/>
    <w:next w:val="1"/>
    <w:unhideWhenUsed/>
    <w:qFormat/>
    <w:uiPriority w:val="39"/>
    <w:pPr>
      <w:ind w:left="840" w:leftChars="400"/>
    </w:pPr>
  </w:style>
  <w:style w:type="paragraph" w:styleId="6">
    <w:name w:val="Date"/>
    <w:basedOn w:val="1"/>
    <w:next w:val="1"/>
    <w:link w:val="48"/>
    <w:semiHidden/>
    <w:unhideWhenUsed/>
    <w:qFormat/>
    <w:uiPriority w:val="99"/>
    <w:pPr>
      <w:ind w:left="100" w:leftChars="2500"/>
    </w:pPr>
  </w:style>
  <w:style w:type="paragraph" w:styleId="7">
    <w:name w:val="Balloon Text"/>
    <w:basedOn w:val="1"/>
    <w:link w:val="46"/>
    <w:semiHidden/>
    <w:unhideWhenUsed/>
    <w:qFormat/>
    <w:uiPriority w:val="99"/>
    <w:rPr>
      <w:sz w:val="18"/>
      <w:szCs w:val="18"/>
    </w:rPr>
  </w:style>
  <w:style w:type="paragraph" w:styleId="8">
    <w:name w:val="footer"/>
    <w:basedOn w:val="1"/>
    <w:link w:val="25"/>
    <w:unhideWhenUsed/>
    <w:qFormat/>
    <w:uiPriority w:val="0"/>
    <w:pPr>
      <w:tabs>
        <w:tab w:val="center" w:pos="4153"/>
        <w:tab w:val="right" w:pos="8306"/>
      </w:tabs>
      <w:snapToGrid w:val="0"/>
      <w:jc w:val="left"/>
    </w:pPr>
    <w:rPr>
      <w:sz w:val="18"/>
      <w:szCs w:val="18"/>
    </w:rPr>
  </w:style>
  <w:style w:type="paragraph" w:styleId="9">
    <w:name w:val="header"/>
    <w:basedOn w:val="1"/>
    <w:link w:val="24"/>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Normal (Web)"/>
    <w:basedOn w:val="1"/>
    <w:qFormat/>
    <w:uiPriority w:val="0"/>
    <w:pPr>
      <w:widowControl/>
      <w:jc w:val="left"/>
    </w:pPr>
    <w:rPr>
      <w:rFonts w:ascii="宋体" w:hAnsi="宋体" w:cs="宋体"/>
      <w:kern w:val="0"/>
      <w:sz w:val="24"/>
    </w:rPr>
  </w:style>
  <w:style w:type="paragraph" w:styleId="13">
    <w:name w:val="annotation subject"/>
    <w:basedOn w:val="4"/>
    <w:next w:val="4"/>
    <w:link w:val="45"/>
    <w:semiHidden/>
    <w:unhideWhenUsed/>
    <w:qFormat/>
    <w:uiPriority w:val="99"/>
    <w:rPr>
      <w:b/>
      <w:bCs/>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styleId="17">
    <w:name w:val="annotation reference"/>
    <w:basedOn w:val="15"/>
    <w:semiHidden/>
    <w:unhideWhenUsed/>
    <w:qFormat/>
    <w:uiPriority w:val="99"/>
    <w:rPr>
      <w:sz w:val="21"/>
      <w:szCs w:val="21"/>
    </w:rPr>
  </w:style>
  <w:style w:type="paragraph" w:customStyle="1" w:styleId="18">
    <w:name w:val="终结线"/>
    <w:basedOn w:val="1"/>
    <w:qFormat/>
    <w:uiPriority w:val="0"/>
    <w:pPr>
      <w:framePr w:hSpace="181" w:vSpace="181" w:wrap="around" w:vAnchor="text" w:hAnchor="margin" w:xAlign="center" w:y="285"/>
    </w:pPr>
  </w:style>
  <w:style w:type="paragraph" w:customStyle="1" w:styleId="19">
    <w:name w:val="样式 标题 1第一级第一级 Char章标题 1-*+h11st levelSection Headl1b1标..."/>
    <w:basedOn w:val="2"/>
    <w:qFormat/>
    <w:uiPriority w:val="0"/>
    <w:pPr>
      <w:spacing w:before="480" w:after="240" w:line="312" w:lineRule="auto"/>
      <w:jc w:val="center"/>
    </w:pPr>
    <w:rPr>
      <w:rFonts w:eastAsia="黑体" w:cs="宋体"/>
      <w:b w:val="0"/>
      <w:bCs w:val="0"/>
      <w:sz w:val="36"/>
      <w:szCs w:val="20"/>
    </w:rPr>
  </w:style>
  <w:style w:type="paragraph" w:customStyle="1" w:styleId="20">
    <w:name w:val="正文表标题"/>
    <w:next w:val="1"/>
    <w:qFormat/>
    <w:uiPriority w:val="0"/>
    <w:pPr>
      <w:numPr>
        <w:ilvl w:val="0"/>
        <w:numId w:val="1"/>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21">
    <w:name w:val="附录表标号"/>
    <w:basedOn w:val="1"/>
    <w:next w:val="1"/>
    <w:qFormat/>
    <w:uiPriority w:val="0"/>
    <w:pPr>
      <w:tabs>
        <w:tab w:val="left" w:pos="720"/>
      </w:tabs>
      <w:spacing w:line="14" w:lineRule="exact"/>
      <w:ind w:left="811" w:hanging="448"/>
      <w:jc w:val="center"/>
      <w:outlineLvl w:val="0"/>
    </w:pPr>
    <w:rPr>
      <w:color w:val="FFFFFF"/>
    </w:rPr>
  </w:style>
  <w:style w:type="character" w:customStyle="1" w:styleId="22">
    <w:name w:val="标题 1 Char"/>
    <w:basedOn w:val="15"/>
    <w:link w:val="2"/>
    <w:qFormat/>
    <w:uiPriority w:val="9"/>
    <w:rPr>
      <w:rFonts w:ascii="Times New Roman" w:hAnsi="Times New Roman" w:eastAsia="宋体" w:cs="Times New Roman"/>
      <w:b/>
      <w:bCs/>
      <w:kern w:val="44"/>
      <w:sz w:val="44"/>
      <w:szCs w:val="44"/>
    </w:rPr>
  </w:style>
  <w:style w:type="paragraph" w:customStyle="1" w:styleId="23">
    <w:name w:val="二级无"/>
    <w:basedOn w:val="1"/>
    <w:qFormat/>
    <w:uiPriority w:val="0"/>
    <w:pPr>
      <w:widowControl/>
      <w:numPr>
        <w:ilvl w:val="2"/>
        <w:numId w:val="2"/>
      </w:numPr>
      <w:tabs>
        <w:tab w:val="left" w:pos="720"/>
        <w:tab w:val="left" w:pos="2160"/>
      </w:tabs>
      <w:jc w:val="left"/>
      <w:outlineLvl w:val="3"/>
    </w:pPr>
    <w:rPr>
      <w:rFonts w:ascii="宋体"/>
      <w:kern w:val="0"/>
      <w:szCs w:val="21"/>
    </w:rPr>
  </w:style>
  <w:style w:type="character" w:customStyle="1" w:styleId="24">
    <w:name w:val="页眉 Char"/>
    <w:basedOn w:val="15"/>
    <w:link w:val="9"/>
    <w:qFormat/>
    <w:uiPriority w:val="99"/>
    <w:rPr>
      <w:rFonts w:ascii="Times New Roman" w:hAnsi="Times New Roman" w:eastAsia="宋体" w:cs="Times New Roman"/>
      <w:sz w:val="18"/>
      <w:szCs w:val="18"/>
    </w:rPr>
  </w:style>
  <w:style w:type="character" w:customStyle="1" w:styleId="25">
    <w:name w:val="页脚 Char"/>
    <w:basedOn w:val="15"/>
    <w:link w:val="8"/>
    <w:qFormat/>
    <w:uiPriority w:val="99"/>
    <w:rPr>
      <w:rFonts w:ascii="Times New Roman" w:hAnsi="Times New Roman" w:eastAsia="宋体" w:cs="Times New Roman"/>
      <w:sz w:val="18"/>
      <w:szCs w:val="18"/>
    </w:rPr>
  </w:style>
  <w:style w:type="paragraph" w:customStyle="1" w:styleId="26">
    <w:name w:val="_Style 14"/>
    <w:basedOn w:val="1"/>
    <w:next w:val="1"/>
    <w:qFormat/>
    <w:uiPriority w:val="39"/>
    <w:pPr>
      <w:tabs>
        <w:tab w:val="right" w:leader="dot" w:pos="9242"/>
      </w:tabs>
    </w:pPr>
    <w:rPr>
      <w:rFonts w:ascii="宋体"/>
      <w:szCs w:val="21"/>
    </w:rPr>
  </w:style>
  <w:style w:type="paragraph" w:customStyle="1" w:styleId="27">
    <w:name w:val="段"/>
    <w:link w:val="28"/>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8">
    <w:name w:val="段 Char"/>
    <w:link w:val="27"/>
    <w:qFormat/>
    <w:uiPriority w:val="0"/>
    <w:rPr>
      <w:rFonts w:ascii="宋体" w:hAnsi="Times New Roman" w:eastAsia="宋体" w:cs="Times New Roman"/>
      <w:kern w:val="0"/>
      <w:szCs w:val="20"/>
    </w:rPr>
  </w:style>
  <w:style w:type="paragraph" w:customStyle="1" w:styleId="29">
    <w:name w:val="封面一致性程度标识"/>
    <w:basedOn w:val="30"/>
    <w:qFormat/>
    <w:uiPriority w:val="0"/>
    <w:pPr>
      <w:framePr w:wrap="around"/>
      <w:spacing w:before="440"/>
    </w:pPr>
    <w:rPr>
      <w:rFonts w:ascii="宋体" w:eastAsia="宋体"/>
    </w:rPr>
  </w:style>
  <w:style w:type="paragraph" w:customStyle="1" w:styleId="30">
    <w:name w:val="封面标准英文名称"/>
    <w:basedOn w:val="31"/>
    <w:qFormat/>
    <w:uiPriority w:val="0"/>
    <w:pPr>
      <w:framePr w:wrap="around"/>
      <w:spacing w:before="370" w:line="400" w:lineRule="exact"/>
    </w:pPr>
    <w:rPr>
      <w:rFonts w:ascii="Times New Roman"/>
      <w:sz w:val="28"/>
      <w:szCs w:val="28"/>
    </w:rPr>
  </w:style>
  <w:style w:type="paragraph" w:customStyle="1" w:styleId="31">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2">
    <w:name w:val="封面标准文稿编辑信息"/>
    <w:basedOn w:val="1"/>
    <w:qFormat/>
    <w:uiPriority w:val="0"/>
    <w:pPr>
      <w:framePr w:w="9639" w:h="6917" w:hRule="exact" w:wrap="around" w:vAnchor="page" w:hAnchor="page" w:xAlign="center" w:y="6408" w:anchorLock="1"/>
      <w:spacing w:before="180" w:after="160" w:line="180" w:lineRule="exact"/>
      <w:jc w:val="center"/>
      <w:textAlignment w:val="center"/>
    </w:pPr>
    <w:rPr>
      <w:rFonts w:ascii="宋体"/>
      <w:kern w:val="0"/>
      <w:szCs w:val="28"/>
    </w:rPr>
  </w:style>
  <w:style w:type="paragraph" w:customStyle="1" w:styleId="33">
    <w:name w:val="章标题"/>
    <w:next w:val="27"/>
    <w:qFormat/>
    <w:uiPriority w:val="0"/>
    <w:pPr>
      <w:tabs>
        <w:tab w:val="left" w:pos="720"/>
      </w:tabs>
      <w:spacing w:before="312" w:beforeLines="100" w:after="312" w:afterLines="100"/>
      <w:ind w:left="720" w:hanging="720"/>
      <w:jc w:val="both"/>
      <w:outlineLvl w:val="1"/>
    </w:pPr>
    <w:rPr>
      <w:rFonts w:ascii="黑体" w:hAnsi="Times New Roman" w:eastAsia="黑体" w:cs="Times New Roman"/>
      <w:sz w:val="21"/>
      <w:lang w:val="en-US" w:eastAsia="zh-CN" w:bidi="ar-SA"/>
    </w:rPr>
  </w:style>
  <w:style w:type="paragraph" w:customStyle="1" w:styleId="34">
    <w:name w:val="一级条标题"/>
    <w:next w:val="27"/>
    <w:qFormat/>
    <w:uiPriority w:val="0"/>
    <w:pPr>
      <w:numPr>
        <w:ilvl w:val="1"/>
        <w:numId w:val="3"/>
      </w:numPr>
      <w:tabs>
        <w:tab w:val="left" w:pos="720"/>
        <w:tab w:val="left" w:pos="1440"/>
      </w:tabs>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35">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36">
    <w:name w:val="其他发布部门"/>
    <w:basedOn w:val="1"/>
    <w:qFormat/>
    <w:uiPriority w:val="0"/>
    <w:pPr>
      <w:framePr w:w="7938" w:h="1134" w:hRule="exact" w:hSpace="125" w:vSpace="181" w:wrap="around" w:vAnchor="page" w:hAnchor="page" w:x="2150" w:y="15310" w:anchorLock="1"/>
      <w:widowControl/>
      <w:spacing w:line="0" w:lineRule="atLeast"/>
      <w:jc w:val="center"/>
    </w:pPr>
    <w:rPr>
      <w:rFonts w:ascii="黑体" w:eastAsia="黑体"/>
      <w:spacing w:val="20"/>
      <w:w w:val="135"/>
      <w:kern w:val="0"/>
      <w:sz w:val="28"/>
      <w:szCs w:val="20"/>
    </w:rPr>
  </w:style>
  <w:style w:type="paragraph" w:customStyle="1" w:styleId="37">
    <w:name w:val="前言、引言标题"/>
    <w:next w:val="27"/>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8">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39">
    <w:name w:val="其他发布日期"/>
    <w:basedOn w:val="1"/>
    <w:qFormat/>
    <w:uiPriority w:val="0"/>
    <w:pPr>
      <w:framePr w:w="3997" w:h="471" w:hRule="exact" w:vSpace="181" w:wrap="around" w:vAnchor="page" w:hAnchor="page" w:x="1419" w:y="14097" w:anchorLock="1"/>
      <w:widowControl/>
      <w:jc w:val="left"/>
    </w:pPr>
    <w:rPr>
      <w:rFonts w:eastAsia="黑体"/>
      <w:kern w:val="0"/>
      <w:sz w:val="28"/>
      <w:szCs w:val="20"/>
    </w:rPr>
  </w:style>
  <w:style w:type="paragraph" w:customStyle="1" w:styleId="40">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41">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42">
    <w:name w:val="其他标准标志"/>
    <w:basedOn w:val="1"/>
    <w:qFormat/>
    <w:uiPriority w:val="0"/>
    <w:pPr>
      <w:framePr w:w="6101" w:h="1389" w:hRule="exact" w:hSpace="181" w:vSpace="181" w:wrap="around" w:vAnchor="page" w:hAnchor="page" w:x="4673" w:y="942" w:anchorLock="1"/>
      <w:widowControl/>
      <w:shd w:val="solid" w:color="FFFFFF" w:fill="FFFFFF"/>
      <w:spacing w:line="0" w:lineRule="atLeast"/>
      <w:jc w:val="right"/>
    </w:pPr>
    <w:rPr>
      <w:b/>
      <w:w w:val="130"/>
      <w:kern w:val="0"/>
      <w:sz w:val="96"/>
      <w:szCs w:val="96"/>
    </w:rPr>
  </w:style>
  <w:style w:type="paragraph" w:customStyle="1" w:styleId="43">
    <w:name w:val="其他实施日期"/>
    <w:basedOn w:val="1"/>
    <w:qFormat/>
    <w:uiPriority w:val="0"/>
    <w:pPr>
      <w:framePr w:w="3997" w:h="471" w:hRule="exact" w:vSpace="181" w:wrap="around" w:vAnchor="page" w:hAnchor="page" w:x="7089" w:y="14097" w:anchorLock="1"/>
      <w:widowControl/>
      <w:jc w:val="right"/>
    </w:pPr>
    <w:rPr>
      <w:rFonts w:eastAsia="黑体"/>
      <w:kern w:val="0"/>
      <w:sz w:val="28"/>
      <w:szCs w:val="20"/>
    </w:rPr>
  </w:style>
  <w:style w:type="character" w:customStyle="1" w:styleId="44">
    <w:name w:val="批注文字 Char"/>
    <w:basedOn w:val="15"/>
    <w:link w:val="4"/>
    <w:semiHidden/>
    <w:qFormat/>
    <w:uiPriority w:val="99"/>
    <w:rPr>
      <w:kern w:val="2"/>
      <w:sz w:val="21"/>
      <w:szCs w:val="24"/>
    </w:rPr>
  </w:style>
  <w:style w:type="character" w:customStyle="1" w:styleId="45">
    <w:name w:val="批注主题 Char"/>
    <w:basedOn w:val="44"/>
    <w:link w:val="13"/>
    <w:semiHidden/>
    <w:qFormat/>
    <w:uiPriority w:val="99"/>
    <w:rPr>
      <w:b/>
      <w:bCs/>
      <w:kern w:val="2"/>
      <w:sz w:val="21"/>
      <w:szCs w:val="24"/>
    </w:rPr>
  </w:style>
  <w:style w:type="character" w:customStyle="1" w:styleId="46">
    <w:name w:val="批注框文本 Char"/>
    <w:basedOn w:val="15"/>
    <w:link w:val="7"/>
    <w:semiHidden/>
    <w:qFormat/>
    <w:uiPriority w:val="99"/>
    <w:rPr>
      <w:kern w:val="2"/>
      <w:sz w:val="18"/>
      <w:szCs w:val="18"/>
    </w:rPr>
  </w:style>
  <w:style w:type="character" w:customStyle="1" w:styleId="47">
    <w:name w:val="标题 3 Char"/>
    <w:basedOn w:val="15"/>
    <w:link w:val="3"/>
    <w:semiHidden/>
    <w:qFormat/>
    <w:uiPriority w:val="9"/>
    <w:rPr>
      <w:b/>
      <w:bCs/>
      <w:kern w:val="2"/>
      <w:sz w:val="32"/>
      <w:szCs w:val="32"/>
    </w:rPr>
  </w:style>
  <w:style w:type="character" w:customStyle="1" w:styleId="48">
    <w:name w:val="日期 Char"/>
    <w:basedOn w:val="15"/>
    <w:link w:val="6"/>
    <w:semiHidden/>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10077</Words>
  <Characters>11197</Characters>
  <Lines>98</Lines>
  <Paragraphs>27</Paragraphs>
  <TotalTime>14</TotalTime>
  <ScaleCrop>false</ScaleCrop>
  <LinksUpToDate>false</LinksUpToDate>
  <CharactersWithSpaces>11560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2026-03-09T07:01:00Z</dcterms:created>
  <dc:creator>zzz</dc:creator>
  <cp:lastModifiedBy>刘</cp:lastModifiedBy>
  <cp:lastPrinted>2026-06-16T08:21:00Z</cp:lastPrinted>
  <dcterms:modified xsi:type="dcterms:W3CDTF">2026-07-02T01:10:22Z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81EE7A775C5C4DEDA005C76689839D3F_13</vt:lpwstr>
  </property>
  <property fmtid="{D5CDD505-2E9C-101B-9397-08002B2CF9AE}" pid="4" name="KSOTemplateDocerSaveRecord">
    <vt:lpwstr>eyJoZGlkIjoiNmNlY2Y5OTNmNmQ3ZTM1NjZlNjRmMTg1OWE1OGFiYjQiLCJ1c2VySWQiOiI3MjY0MzU4MTAifQ==</vt:lpwstr>
  </property>
</Properties>
</file>